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E4" w:rsidRPr="007A4A8C" w:rsidRDefault="00CC21E4" w:rsidP="007A4A8C">
      <w:pPr>
        <w:spacing w:after="0"/>
        <w:rPr>
          <w:b/>
        </w:rPr>
      </w:pPr>
    </w:p>
    <w:p w:rsidR="000B01A4" w:rsidRDefault="00DC4C91" w:rsidP="000B01A4">
      <w:pPr>
        <w:pStyle w:val="ListParagraph"/>
        <w:numPr>
          <w:ilvl w:val="0"/>
          <w:numId w:val="1"/>
        </w:numPr>
        <w:spacing w:after="0"/>
      </w:pPr>
      <w:r>
        <w:t>Working group n</w:t>
      </w:r>
      <w:r w:rsidR="000B01A4" w:rsidRPr="003110FB">
        <w:t>ame:</w:t>
      </w:r>
    </w:p>
    <w:p w:rsidR="00DB0A97" w:rsidRPr="003110FB" w:rsidRDefault="00DB0A97" w:rsidP="00DB0A97">
      <w:pPr>
        <w:pStyle w:val="ListParagraph"/>
        <w:spacing w:after="0"/>
      </w:pPr>
    </w:p>
    <w:p w:rsidR="000B01A4" w:rsidRPr="00DB0A97" w:rsidRDefault="00E84C44" w:rsidP="00DB0A97">
      <w:pPr>
        <w:spacing w:after="0"/>
        <w:ind w:left="720"/>
        <w:rPr>
          <w:i/>
          <w:color w:val="0070C0"/>
        </w:rPr>
      </w:pPr>
      <w:r>
        <w:rPr>
          <w:i/>
          <w:color w:val="0070C0"/>
        </w:rPr>
        <w:t>Consumer Safety, Education and Health</w:t>
      </w:r>
    </w:p>
    <w:p w:rsidR="000B01A4" w:rsidRPr="003110FB" w:rsidRDefault="000B01A4" w:rsidP="000B01A4">
      <w:pPr>
        <w:pStyle w:val="ListParagraph"/>
        <w:spacing w:after="0"/>
      </w:pPr>
    </w:p>
    <w:p w:rsidR="007746E2" w:rsidRDefault="00DC4C91" w:rsidP="007A4A8C">
      <w:pPr>
        <w:pStyle w:val="ListParagraph"/>
        <w:numPr>
          <w:ilvl w:val="0"/>
          <w:numId w:val="1"/>
        </w:numPr>
        <w:spacing w:after="0"/>
      </w:pPr>
      <w:r>
        <w:t>Individual s</w:t>
      </w:r>
      <w:r w:rsidR="007746E2" w:rsidRPr="003110FB">
        <w:t xml:space="preserve">ponsor(s): </w:t>
      </w:r>
    </w:p>
    <w:p w:rsidR="00B606F5" w:rsidRDefault="00B606F5" w:rsidP="00B606F5">
      <w:pPr>
        <w:pStyle w:val="ListParagraph"/>
        <w:spacing w:after="0"/>
      </w:pPr>
    </w:p>
    <w:p w:rsidR="003B0CF5" w:rsidRDefault="00E84C44" w:rsidP="00DB0A97">
      <w:pPr>
        <w:pStyle w:val="ListParagraph"/>
        <w:spacing w:after="0"/>
        <w:rPr>
          <w:i/>
          <w:color w:val="0070C0"/>
        </w:rPr>
      </w:pPr>
      <w:r>
        <w:rPr>
          <w:i/>
          <w:color w:val="0070C0"/>
        </w:rPr>
        <w:t xml:space="preserve">Linda Lang, Director, </w:t>
      </w:r>
      <w:r w:rsidR="003B0CF5">
        <w:rPr>
          <w:i/>
          <w:color w:val="0070C0"/>
        </w:rPr>
        <w:t>Nevada S</w:t>
      </w:r>
      <w:r w:rsidR="00B27F6B">
        <w:rPr>
          <w:i/>
          <w:color w:val="0070C0"/>
        </w:rPr>
        <w:t>tatewide Coalition Partnership</w:t>
      </w:r>
    </w:p>
    <w:p w:rsidR="00BA3A45" w:rsidRDefault="00E84C44" w:rsidP="00DB0A97">
      <w:pPr>
        <w:pStyle w:val="ListParagraph"/>
        <w:spacing w:after="0"/>
        <w:rPr>
          <w:i/>
          <w:color w:val="0070C0"/>
        </w:rPr>
      </w:pPr>
      <w:r>
        <w:rPr>
          <w:i/>
          <w:color w:val="0070C0"/>
        </w:rPr>
        <w:t>Shannon Ernst, Director, Churchill County Social Services</w:t>
      </w:r>
    </w:p>
    <w:p w:rsidR="00BA3A45" w:rsidRDefault="00BA3A45" w:rsidP="00DB0A97">
      <w:pPr>
        <w:pStyle w:val="ListParagraph"/>
        <w:spacing w:after="0"/>
        <w:rPr>
          <w:i/>
          <w:color w:val="0070C0"/>
        </w:rPr>
      </w:pPr>
      <w:r>
        <w:rPr>
          <w:i/>
          <w:color w:val="0070C0"/>
        </w:rPr>
        <w:t>Jen Solas, Wellness Education Cannabis Advocates of Nevada</w:t>
      </w:r>
    </w:p>
    <w:p w:rsidR="00BA3A45" w:rsidRDefault="00BA3A45" w:rsidP="00DB0A97">
      <w:pPr>
        <w:pStyle w:val="ListParagraph"/>
        <w:spacing w:after="0"/>
        <w:rPr>
          <w:i/>
          <w:color w:val="0070C0"/>
        </w:rPr>
      </w:pPr>
    </w:p>
    <w:p w:rsidR="00E84C44" w:rsidRDefault="00BA3A45" w:rsidP="00DB0A97">
      <w:pPr>
        <w:pStyle w:val="ListParagraph"/>
        <w:spacing w:after="0"/>
        <w:rPr>
          <w:i/>
          <w:color w:val="0070C0"/>
        </w:rPr>
      </w:pPr>
      <w:r>
        <w:rPr>
          <w:i/>
          <w:color w:val="0070C0"/>
        </w:rPr>
        <w:t>With input from the Retail Working Group</w:t>
      </w:r>
    </w:p>
    <w:p w:rsidR="003B0CF5" w:rsidRDefault="003B0CF5" w:rsidP="00DB0A97">
      <w:pPr>
        <w:pStyle w:val="ListParagraph"/>
        <w:spacing w:after="0"/>
        <w:rPr>
          <w:i/>
          <w:color w:val="0070C0"/>
        </w:rPr>
      </w:pPr>
    </w:p>
    <w:p w:rsidR="00E9081E" w:rsidRDefault="00DC4C91" w:rsidP="00E9081E">
      <w:pPr>
        <w:pStyle w:val="ListParagraph"/>
        <w:numPr>
          <w:ilvl w:val="0"/>
          <w:numId w:val="1"/>
        </w:numPr>
        <w:spacing w:after="0"/>
      </w:pPr>
      <w:r>
        <w:t>Describe the r</w:t>
      </w:r>
      <w:r w:rsidR="000B01A4" w:rsidRPr="003110FB">
        <w:t>ecommendation:</w:t>
      </w:r>
    </w:p>
    <w:p w:rsidR="00DD6BA5" w:rsidRDefault="00DD6BA5" w:rsidP="00DD6BA5">
      <w:pPr>
        <w:spacing w:after="0"/>
      </w:pPr>
    </w:p>
    <w:p w:rsidR="00DD6BA5" w:rsidRPr="005F57F6" w:rsidRDefault="00DD6BA5" w:rsidP="005F57F6">
      <w:pPr>
        <w:spacing w:after="0"/>
        <w:ind w:left="720"/>
        <w:jc w:val="both"/>
        <w:rPr>
          <w:i/>
          <w:color w:val="0070C0"/>
        </w:rPr>
      </w:pPr>
      <w:r w:rsidRPr="005F57F6">
        <w:rPr>
          <w:i/>
          <w:color w:val="0070C0"/>
        </w:rPr>
        <w:t>Currently in the medical marijuana regulations, training requirements are outlin</w:t>
      </w:r>
      <w:r w:rsidR="008F3BCD">
        <w:rPr>
          <w:i/>
          <w:color w:val="0070C0"/>
        </w:rPr>
        <w:t>ed for persons who are to be employed as</w:t>
      </w:r>
      <w:r w:rsidRPr="005F57F6">
        <w:rPr>
          <w:i/>
          <w:color w:val="0070C0"/>
        </w:rPr>
        <w:t xml:space="preserve"> agents of the establishments.  Training must be provided before that person begins work or volunteers in the establishment.  </w:t>
      </w:r>
    </w:p>
    <w:p w:rsidR="00DD6BA5" w:rsidRPr="005F57F6" w:rsidRDefault="00DD6BA5" w:rsidP="005F57F6">
      <w:pPr>
        <w:spacing w:after="0"/>
        <w:ind w:left="720"/>
        <w:jc w:val="both"/>
        <w:rPr>
          <w:i/>
          <w:color w:val="0070C0"/>
        </w:rPr>
      </w:pPr>
    </w:p>
    <w:p w:rsidR="00DD6BA5" w:rsidRPr="005F57F6" w:rsidRDefault="00DD6BA5" w:rsidP="005F57F6">
      <w:pPr>
        <w:spacing w:after="0"/>
        <w:ind w:left="720"/>
        <w:jc w:val="both"/>
        <w:rPr>
          <w:i/>
          <w:color w:val="0070C0"/>
        </w:rPr>
      </w:pPr>
      <w:r w:rsidRPr="005F57F6">
        <w:rPr>
          <w:i/>
          <w:color w:val="0070C0"/>
        </w:rPr>
        <w:t>For the</w:t>
      </w:r>
      <w:r w:rsidR="00623799" w:rsidRPr="005F57F6">
        <w:rPr>
          <w:i/>
          <w:color w:val="0070C0"/>
        </w:rPr>
        <w:t xml:space="preserve"> retail marijuana industry in </w:t>
      </w:r>
      <w:r w:rsidRPr="005F57F6">
        <w:rPr>
          <w:i/>
          <w:color w:val="0070C0"/>
        </w:rPr>
        <w:t>Nevada,</w:t>
      </w:r>
      <w:r w:rsidR="00623799" w:rsidRPr="005F57F6">
        <w:rPr>
          <w:i/>
          <w:color w:val="0070C0"/>
        </w:rPr>
        <w:t xml:space="preserve"> which will greatly expand the work force of agents,</w:t>
      </w:r>
      <w:r w:rsidRPr="005F57F6">
        <w:rPr>
          <w:i/>
          <w:color w:val="0070C0"/>
        </w:rPr>
        <w:t xml:space="preserve"> it is suggested that the current training be built upon to ens</w:t>
      </w:r>
      <w:r w:rsidR="008A3AC9">
        <w:rPr>
          <w:i/>
          <w:color w:val="0070C0"/>
        </w:rPr>
        <w:t>ure the health, safety and well</w:t>
      </w:r>
      <w:r w:rsidRPr="005F57F6">
        <w:rPr>
          <w:i/>
          <w:color w:val="0070C0"/>
        </w:rPr>
        <w:t xml:space="preserve">being of the consumers of the product.  </w:t>
      </w:r>
    </w:p>
    <w:p w:rsidR="00623799" w:rsidRPr="005F57F6" w:rsidRDefault="00623799" w:rsidP="005F57F6">
      <w:pPr>
        <w:spacing w:after="0"/>
        <w:ind w:left="720"/>
        <w:jc w:val="both"/>
        <w:rPr>
          <w:i/>
          <w:color w:val="0070C0"/>
        </w:rPr>
      </w:pPr>
    </w:p>
    <w:p w:rsidR="008A3AC9" w:rsidRDefault="00623799" w:rsidP="005F57F6">
      <w:pPr>
        <w:spacing w:after="0"/>
        <w:ind w:left="720"/>
        <w:jc w:val="both"/>
        <w:rPr>
          <w:i/>
          <w:color w:val="0070C0"/>
        </w:rPr>
      </w:pPr>
      <w:r w:rsidRPr="005F57F6">
        <w:rPr>
          <w:i/>
          <w:color w:val="0070C0"/>
        </w:rPr>
        <w:t>The following regulation</w:t>
      </w:r>
      <w:r w:rsidR="008A3AC9">
        <w:rPr>
          <w:i/>
          <w:color w:val="0070C0"/>
        </w:rPr>
        <w:t>s were taken directly from the medical marijuana training for agents and modified to reflect recreational marijuana training needs.</w:t>
      </w:r>
    </w:p>
    <w:p w:rsidR="008A3AC9" w:rsidRPr="00BC23E1" w:rsidRDefault="008A3AC9" w:rsidP="008A3AC9">
      <w:pPr>
        <w:spacing w:after="0"/>
        <w:ind w:left="720"/>
        <w:jc w:val="both"/>
        <w:rPr>
          <w:i/>
          <w:color w:val="4472C4" w:themeColor="accent5"/>
        </w:rPr>
      </w:pPr>
    </w:p>
    <w:p w:rsidR="00E12499" w:rsidRPr="00BC23E1" w:rsidRDefault="008A3AC9" w:rsidP="00BC23E1">
      <w:pPr>
        <w:spacing w:after="0"/>
        <w:ind w:left="720"/>
        <w:rPr>
          <w:i/>
          <w:color w:val="4472C4" w:themeColor="accent5"/>
        </w:rPr>
      </w:pPr>
      <w:r w:rsidRPr="00BC23E1">
        <w:rPr>
          <w:i/>
          <w:color w:val="4472C4" w:themeColor="accent5"/>
        </w:rPr>
        <w:t>1.</w:t>
      </w:r>
      <w:r w:rsidRPr="00BC23E1">
        <w:rPr>
          <w:i/>
          <w:color w:val="4472C4" w:themeColor="accent5"/>
        </w:rPr>
        <w:tab/>
        <w:t xml:space="preserve">The Department will issue marijuana establishment agent registration cards for each of </w:t>
      </w:r>
      <w:r w:rsidRPr="00BC23E1">
        <w:rPr>
          <w:i/>
          <w:color w:val="4472C4" w:themeColor="accent5"/>
        </w:rPr>
        <w:tab/>
        <w:t>the following categories:</w:t>
      </w:r>
    </w:p>
    <w:p w:rsidR="00DD6BA5" w:rsidRPr="00BC23E1" w:rsidRDefault="00DD6BA5" w:rsidP="00BC23E1">
      <w:pPr>
        <w:spacing w:after="0"/>
        <w:ind w:left="1440"/>
        <w:rPr>
          <w:i/>
          <w:color w:val="4472C4" w:themeColor="accent5"/>
        </w:rPr>
      </w:pPr>
      <w:r w:rsidRPr="00BC23E1">
        <w:rPr>
          <w:i/>
          <w:color w:val="4472C4" w:themeColor="accent5"/>
        </w:rPr>
        <w:t>     (a)</w:t>
      </w:r>
      <w:r w:rsidRPr="00BC23E1">
        <w:rPr>
          <w:rFonts w:ascii="Lucida Sans Unicode" w:hAnsi="Lucida Sans Unicode" w:cs="Lucida Sans Unicode"/>
          <w:i/>
          <w:color w:val="4472C4" w:themeColor="accent5"/>
        </w:rPr>
        <w:t> </w:t>
      </w:r>
      <w:r w:rsidRPr="00BC23E1">
        <w:rPr>
          <w:i/>
          <w:color w:val="4472C4" w:themeColor="accent5"/>
        </w:rPr>
        <w:t>An independent testing laboratory;</w:t>
      </w:r>
    </w:p>
    <w:p w:rsidR="00DD6BA5" w:rsidRPr="00BC23E1" w:rsidRDefault="00DD6BA5" w:rsidP="00BC23E1">
      <w:pPr>
        <w:spacing w:after="0"/>
        <w:ind w:left="1440"/>
        <w:rPr>
          <w:i/>
          <w:color w:val="4472C4" w:themeColor="accent5"/>
        </w:rPr>
      </w:pPr>
      <w:r w:rsidRPr="00BC23E1">
        <w:rPr>
          <w:i/>
          <w:color w:val="4472C4" w:themeColor="accent5"/>
        </w:rPr>
        <w:t>     (b)</w:t>
      </w:r>
      <w:r w:rsidRPr="00BC23E1">
        <w:rPr>
          <w:rFonts w:ascii="Lucida Sans Unicode" w:hAnsi="Lucida Sans Unicode" w:cs="Lucida Sans Unicode"/>
          <w:i/>
          <w:color w:val="4472C4" w:themeColor="accent5"/>
        </w:rPr>
        <w:t> </w:t>
      </w:r>
      <w:r w:rsidRPr="00BC23E1">
        <w:rPr>
          <w:i/>
          <w:color w:val="4472C4" w:themeColor="accent5"/>
        </w:rPr>
        <w:t>A cultivation facility;</w:t>
      </w:r>
    </w:p>
    <w:p w:rsidR="00DD6BA5" w:rsidRPr="00BC23E1" w:rsidRDefault="00DD6BA5" w:rsidP="00BC23E1">
      <w:pPr>
        <w:spacing w:after="0"/>
        <w:ind w:left="1440"/>
        <w:rPr>
          <w:i/>
          <w:color w:val="4472C4" w:themeColor="accent5"/>
        </w:rPr>
      </w:pPr>
      <w:r w:rsidRPr="00BC23E1">
        <w:rPr>
          <w:i/>
          <w:color w:val="4472C4" w:themeColor="accent5"/>
        </w:rPr>
        <w:t>     (c)</w:t>
      </w:r>
      <w:r w:rsidRPr="00BC23E1">
        <w:rPr>
          <w:rFonts w:ascii="Lucida Sans Unicode" w:hAnsi="Lucida Sans Unicode" w:cs="Lucida Sans Unicode"/>
          <w:i/>
          <w:color w:val="4472C4" w:themeColor="accent5"/>
        </w:rPr>
        <w:t> </w:t>
      </w:r>
      <w:r w:rsidRPr="00BC23E1">
        <w:rPr>
          <w:i/>
          <w:color w:val="4472C4" w:themeColor="accent5"/>
        </w:rPr>
        <w:t>A facility for the production of edible marijuana products o</w:t>
      </w:r>
      <w:r w:rsidR="00623799" w:rsidRPr="00BC23E1">
        <w:rPr>
          <w:i/>
          <w:color w:val="4472C4" w:themeColor="accent5"/>
        </w:rPr>
        <w:t xml:space="preserve">r marijuana-infused </w:t>
      </w:r>
      <w:r w:rsidR="008A3AC9" w:rsidRPr="00BC23E1">
        <w:rPr>
          <w:i/>
          <w:color w:val="4472C4" w:themeColor="accent5"/>
        </w:rPr>
        <w:tab/>
      </w:r>
      <w:r w:rsidR="00623799" w:rsidRPr="00BC23E1">
        <w:rPr>
          <w:i/>
          <w:color w:val="4472C4" w:themeColor="accent5"/>
        </w:rPr>
        <w:t xml:space="preserve">products; </w:t>
      </w:r>
    </w:p>
    <w:p w:rsidR="00DD6BA5" w:rsidRPr="00BC23E1" w:rsidRDefault="00DD6BA5" w:rsidP="00BC23E1">
      <w:pPr>
        <w:spacing w:after="0"/>
        <w:ind w:left="1440"/>
        <w:rPr>
          <w:i/>
          <w:color w:val="4472C4" w:themeColor="accent5"/>
        </w:rPr>
      </w:pPr>
      <w:r w:rsidRPr="00BC23E1">
        <w:rPr>
          <w:i/>
          <w:color w:val="4472C4" w:themeColor="accent5"/>
        </w:rPr>
        <w:t>     (d)</w:t>
      </w:r>
      <w:r w:rsidRPr="00BC23E1">
        <w:rPr>
          <w:rFonts w:ascii="Lucida Sans Unicode" w:hAnsi="Lucida Sans Unicode" w:cs="Lucida Sans Unicode"/>
          <w:i/>
          <w:color w:val="4472C4" w:themeColor="accent5"/>
        </w:rPr>
        <w:t> </w:t>
      </w:r>
      <w:r w:rsidRPr="00BC23E1">
        <w:rPr>
          <w:i/>
          <w:color w:val="4472C4" w:themeColor="accent5"/>
        </w:rPr>
        <w:t>A</w:t>
      </w:r>
      <w:r w:rsidR="008A3AC9" w:rsidRPr="00BC23E1">
        <w:rPr>
          <w:i/>
          <w:color w:val="4472C4" w:themeColor="accent5"/>
        </w:rPr>
        <w:t xml:space="preserve"> </w:t>
      </w:r>
      <w:r w:rsidRPr="00BC23E1">
        <w:rPr>
          <w:i/>
          <w:color w:val="4472C4" w:themeColor="accent5"/>
        </w:rPr>
        <w:t>marijuana</w:t>
      </w:r>
      <w:r w:rsidR="008A3AC9" w:rsidRPr="00BC23E1">
        <w:rPr>
          <w:i/>
          <w:color w:val="4472C4" w:themeColor="accent5"/>
        </w:rPr>
        <w:t xml:space="preserve"> retail store;  </w:t>
      </w:r>
      <w:r w:rsidRPr="00BC23E1">
        <w:rPr>
          <w:i/>
          <w:color w:val="4472C4" w:themeColor="accent5"/>
        </w:rPr>
        <w:t xml:space="preserve"> </w:t>
      </w:r>
    </w:p>
    <w:p w:rsidR="00623799" w:rsidRPr="00BC23E1" w:rsidRDefault="008A3AC9" w:rsidP="00BC23E1">
      <w:pPr>
        <w:spacing w:after="0"/>
        <w:ind w:left="1710"/>
        <w:rPr>
          <w:i/>
          <w:color w:val="4472C4" w:themeColor="accent5"/>
        </w:rPr>
      </w:pPr>
      <w:r w:rsidRPr="00BC23E1">
        <w:rPr>
          <w:i/>
          <w:color w:val="4472C4" w:themeColor="accent5"/>
        </w:rPr>
        <w:t xml:space="preserve">(e)  A </w:t>
      </w:r>
      <w:r w:rsidR="00623799" w:rsidRPr="00BC23E1">
        <w:rPr>
          <w:i/>
          <w:color w:val="4472C4" w:themeColor="accent5"/>
        </w:rPr>
        <w:t>marijuana distributor</w:t>
      </w:r>
    </w:p>
    <w:p w:rsidR="008A3AC9" w:rsidRPr="00BC23E1" w:rsidRDefault="00DD6BA5" w:rsidP="00BC23E1">
      <w:pPr>
        <w:spacing w:after="0"/>
        <w:rPr>
          <w:i/>
          <w:color w:val="4472C4" w:themeColor="accent5"/>
        </w:rPr>
      </w:pPr>
      <w:r w:rsidRPr="00BC23E1">
        <w:rPr>
          <w:i/>
          <w:color w:val="4472C4" w:themeColor="accent5"/>
        </w:rPr>
        <w:t xml:space="preserve">     </w:t>
      </w:r>
      <w:r w:rsidR="008A3AC9" w:rsidRPr="00BC23E1">
        <w:rPr>
          <w:i/>
          <w:color w:val="4472C4" w:themeColor="accent5"/>
        </w:rPr>
        <w:tab/>
        <w:t>2.</w:t>
      </w:r>
      <w:r w:rsidR="008A3AC9" w:rsidRPr="00BC23E1">
        <w:rPr>
          <w:i/>
          <w:color w:val="4472C4" w:themeColor="accent5"/>
        </w:rPr>
        <w:tab/>
      </w:r>
      <w:r w:rsidRPr="00BC23E1">
        <w:rPr>
          <w:i/>
          <w:color w:val="4472C4" w:themeColor="accent5"/>
        </w:rPr>
        <w:t>Each marijuana establishment agent registration card issued pursuant</w:t>
      </w:r>
      <w:r w:rsidR="008A3AC9" w:rsidRPr="00BC23E1">
        <w:rPr>
          <w:i/>
          <w:color w:val="4472C4" w:themeColor="accent5"/>
        </w:rPr>
        <w:t xml:space="preserve"> </w:t>
      </w:r>
      <w:r w:rsidR="00623799" w:rsidRPr="00BC23E1">
        <w:rPr>
          <w:i/>
          <w:color w:val="4472C4" w:themeColor="accent5"/>
        </w:rPr>
        <w:t xml:space="preserve">NRS 453D </w:t>
      </w:r>
      <w:r w:rsidRPr="00BC23E1">
        <w:rPr>
          <w:i/>
          <w:color w:val="4472C4" w:themeColor="accent5"/>
        </w:rPr>
        <w:t xml:space="preserve">must </w:t>
      </w:r>
      <w:r w:rsidR="008A3AC9" w:rsidRPr="00BC23E1">
        <w:rPr>
          <w:i/>
          <w:color w:val="4472C4" w:themeColor="accent5"/>
        </w:rPr>
        <w:tab/>
      </w:r>
      <w:r w:rsidR="008A3AC9" w:rsidRPr="00BC23E1">
        <w:rPr>
          <w:i/>
          <w:color w:val="4472C4" w:themeColor="accent5"/>
        </w:rPr>
        <w:tab/>
      </w:r>
      <w:r w:rsidR="008A3AC9" w:rsidRPr="00BC23E1">
        <w:rPr>
          <w:i/>
          <w:color w:val="4472C4" w:themeColor="accent5"/>
        </w:rPr>
        <w:tab/>
      </w:r>
      <w:r w:rsidRPr="00BC23E1">
        <w:rPr>
          <w:i/>
          <w:color w:val="4472C4" w:themeColor="accent5"/>
        </w:rPr>
        <w:t xml:space="preserve">indicate the applicable category. The person to whom the marijuana establishment </w:t>
      </w:r>
      <w:r w:rsidR="008A3AC9" w:rsidRPr="00BC23E1">
        <w:rPr>
          <w:i/>
          <w:color w:val="4472C4" w:themeColor="accent5"/>
        </w:rPr>
        <w:tab/>
      </w:r>
      <w:r w:rsidR="008A3AC9" w:rsidRPr="00BC23E1">
        <w:rPr>
          <w:i/>
          <w:color w:val="4472C4" w:themeColor="accent5"/>
        </w:rPr>
        <w:tab/>
      </w:r>
      <w:r w:rsidR="008A3AC9" w:rsidRPr="00BC23E1">
        <w:rPr>
          <w:i/>
          <w:color w:val="4472C4" w:themeColor="accent5"/>
        </w:rPr>
        <w:tab/>
      </w:r>
      <w:r w:rsidRPr="00BC23E1">
        <w:rPr>
          <w:i/>
          <w:color w:val="4472C4" w:themeColor="accent5"/>
        </w:rPr>
        <w:t xml:space="preserve">registration card is issued may only be employed by or volunteer at the type of </w:t>
      </w:r>
      <w:r w:rsidR="008A3AC9" w:rsidRPr="00BC23E1">
        <w:rPr>
          <w:i/>
          <w:color w:val="4472C4" w:themeColor="accent5"/>
        </w:rPr>
        <w:tab/>
      </w:r>
      <w:r w:rsidR="008A3AC9" w:rsidRPr="00BC23E1">
        <w:rPr>
          <w:i/>
          <w:color w:val="4472C4" w:themeColor="accent5"/>
        </w:rPr>
        <w:tab/>
      </w:r>
      <w:r w:rsidR="00D7363D" w:rsidRPr="00BC23E1">
        <w:rPr>
          <w:i/>
          <w:color w:val="4472C4" w:themeColor="accent5"/>
        </w:rPr>
        <w:tab/>
      </w:r>
      <w:r w:rsidR="00D7363D" w:rsidRPr="00BC23E1">
        <w:rPr>
          <w:i/>
          <w:color w:val="4472C4" w:themeColor="accent5"/>
        </w:rPr>
        <w:tab/>
      </w:r>
      <w:r w:rsidRPr="00BC23E1">
        <w:rPr>
          <w:i/>
          <w:color w:val="4472C4" w:themeColor="accent5"/>
        </w:rPr>
        <w:t>marijuana establishment for which he or she is registered.</w:t>
      </w:r>
    </w:p>
    <w:p w:rsidR="00DD6BA5" w:rsidRPr="00BC23E1" w:rsidRDefault="008A3AC9" w:rsidP="00BC23E1">
      <w:pPr>
        <w:spacing w:after="0"/>
        <w:rPr>
          <w:i/>
          <w:color w:val="4472C4" w:themeColor="accent5"/>
        </w:rPr>
      </w:pPr>
      <w:r w:rsidRPr="00BC23E1">
        <w:rPr>
          <w:i/>
          <w:color w:val="4472C4" w:themeColor="accent5"/>
        </w:rPr>
        <w:tab/>
      </w:r>
      <w:r w:rsidR="00DD6BA5" w:rsidRPr="00BC23E1">
        <w:rPr>
          <w:i/>
          <w:color w:val="4472C4" w:themeColor="accent5"/>
        </w:rPr>
        <w:t>3.</w:t>
      </w:r>
      <w:r w:rsidR="00DD6BA5" w:rsidRPr="00BC23E1">
        <w:rPr>
          <w:rFonts w:ascii="Lucida Sans Unicode" w:hAnsi="Lucida Sans Unicode" w:cs="Lucida Sans Unicode"/>
          <w:i/>
          <w:color w:val="4472C4" w:themeColor="accent5"/>
        </w:rPr>
        <w:t> </w:t>
      </w:r>
      <w:r w:rsidR="00DD6BA5" w:rsidRPr="00BC23E1">
        <w:rPr>
          <w:rFonts w:ascii="Lucida Sans Unicode" w:hAnsi="Lucida Sans Unicode" w:cs="Lucida Sans Unicode"/>
          <w:i/>
          <w:color w:val="4472C4" w:themeColor="accent5"/>
        </w:rPr>
        <w:t> </w:t>
      </w:r>
      <w:r w:rsidRPr="00BC23E1">
        <w:rPr>
          <w:rFonts w:ascii="Lucida Sans Unicode" w:hAnsi="Lucida Sans Unicode" w:cs="Lucida Sans Unicode"/>
          <w:i/>
          <w:color w:val="4472C4" w:themeColor="accent5"/>
        </w:rPr>
        <w:tab/>
      </w:r>
      <w:r w:rsidR="00DD6BA5" w:rsidRPr="00BC23E1">
        <w:rPr>
          <w:i/>
          <w:color w:val="4472C4" w:themeColor="accent5"/>
        </w:rPr>
        <w:t>A</w:t>
      </w:r>
      <w:r w:rsidRPr="00BC23E1">
        <w:rPr>
          <w:i/>
          <w:color w:val="4472C4" w:themeColor="accent5"/>
        </w:rPr>
        <w:t xml:space="preserve"> </w:t>
      </w:r>
      <w:r w:rsidR="00DD6BA5" w:rsidRPr="00BC23E1">
        <w:rPr>
          <w:i/>
          <w:color w:val="4472C4" w:themeColor="accent5"/>
        </w:rPr>
        <w:t>marijuana establishment shall ensure that training is provided to a</w:t>
      </w:r>
      <w:r w:rsidR="009D45E3" w:rsidRPr="00BC23E1">
        <w:rPr>
          <w:i/>
          <w:color w:val="4472C4" w:themeColor="accent5"/>
        </w:rPr>
        <w:t xml:space="preserve"> </w:t>
      </w:r>
      <w:r w:rsidR="00DD6BA5" w:rsidRPr="00BC23E1">
        <w:rPr>
          <w:i/>
          <w:color w:val="4472C4" w:themeColor="accent5"/>
        </w:rPr>
        <w:t xml:space="preserve">marijuana </w:t>
      </w:r>
      <w:r w:rsidR="00BC23E1">
        <w:rPr>
          <w:i/>
          <w:color w:val="4472C4" w:themeColor="accent5"/>
        </w:rPr>
        <w:tab/>
      </w:r>
      <w:r w:rsidR="00BC23E1">
        <w:rPr>
          <w:i/>
          <w:color w:val="4472C4" w:themeColor="accent5"/>
        </w:rPr>
        <w:tab/>
      </w:r>
      <w:r w:rsidR="00BC23E1">
        <w:rPr>
          <w:i/>
          <w:color w:val="4472C4" w:themeColor="accent5"/>
        </w:rPr>
        <w:tab/>
      </w:r>
      <w:r w:rsidR="00BC23E1">
        <w:rPr>
          <w:i/>
          <w:color w:val="4472C4" w:themeColor="accent5"/>
        </w:rPr>
        <w:tab/>
      </w:r>
      <w:r w:rsidR="00DD6BA5" w:rsidRPr="00BC23E1">
        <w:rPr>
          <w:i/>
          <w:color w:val="4472C4" w:themeColor="accent5"/>
        </w:rPr>
        <w:t xml:space="preserve">establishment agent before that person begins to work or volunteer at the marijuana </w:t>
      </w:r>
      <w:r w:rsidR="00BC23E1">
        <w:rPr>
          <w:i/>
          <w:color w:val="4472C4" w:themeColor="accent5"/>
        </w:rPr>
        <w:tab/>
      </w:r>
      <w:r w:rsidR="00BC23E1">
        <w:rPr>
          <w:i/>
          <w:color w:val="4472C4" w:themeColor="accent5"/>
        </w:rPr>
        <w:tab/>
      </w:r>
      <w:r w:rsidR="00BC23E1">
        <w:rPr>
          <w:i/>
          <w:color w:val="4472C4" w:themeColor="accent5"/>
        </w:rPr>
        <w:tab/>
      </w:r>
      <w:r w:rsidR="00DD6BA5" w:rsidRPr="00BC23E1">
        <w:rPr>
          <w:i/>
          <w:color w:val="4472C4" w:themeColor="accent5"/>
        </w:rPr>
        <w:t>establishment. Such training must include, without limitation:</w:t>
      </w:r>
    </w:p>
    <w:p w:rsidR="00DD6BA5" w:rsidRPr="00BC23E1" w:rsidRDefault="00DD6BA5" w:rsidP="00BC23E1">
      <w:pPr>
        <w:spacing w:after="0"/>
        <w:ind w:left="720"/>
        <w:rPr>
          <w:i/>
          <w:color w:val="4472C4" w:themeColor="accent5"/>
        </w:rPr>
      </w:pPr>
      <w:r w:rsidRPr="00BC23E1">
        <w:rPr>
          <w:i/>
          <w:color w:val="4472C4" w:themeColor="accent5"/>
        </w:rPr>
        <w:t xml:space="preserve">     </w:t>
      </w:r>
      <w:r w:rsidR="00BC23E1">
        <w:rPr>
          <w:i/>
          <w:color w:val="4472C4" w:themeColor="accent5"/>
        </w:rPr>
        <w:tab/>
      </w:r>
      <w:r w:rsidRPr="00BC23E1">
        <w:rPr>
          <w:i/>
          <w:color w:val="4472C4" w:themeColor="accent5"/>
        </w:rPr>
        <w:t>(a)</w:t>
      </w:r>
      <w:r w:rsidRPr="00BC23E1">
        <w:rPr>
          <w:rFonts w:ascii="Lucida Sans Unicode" w:hAnsi="Lucida Sans Unicode" w:cs="Lucida Sans Unicode"/>
          <w:i/>
          <w:color w:val="4472C4" w:themeColor="accent5"/>
        </w:rPr>
        <w:t> </w:t>
      </w:r>
      <w:r w:rsidRPr="00BC23E1">
        <w:rPr>
          <w:i/>
          <w:color w:val="4472C4" w:themeColor="accent5"/>
        </w:rPr>
        <w:t>The proper use of security measures and controls that have been adopted by the</w:t>
      </w:r>
      <w:r w:rsidR="008A3AC9" w:rsidRPr="00BC23E1">
        <w:rPr>
          <w:i/>
          <w:color w:val="4472C4" w:themeColor="accent5"/>
        </w:rPr>
        <w:t xml:space="preserve"> </w:t>
      </w:r>
      <w:r w:rsidR="00BC23E1" w:rsidRPr="00BC23E1">
        <w:rPr>
          <w:i/>
          <w:color w:val="4472C4" w:themeColor="accent5"/>
        </w:rPr>
        <w:tab/>
      </w:r>
      <w:r w:rsidR="00BC23E1" w:rsidRPr="00BC23E1">
        <w:rPr>
          <w:i/>
          <w:color w:val="4472C4" w:themeColor="accent5"/>
        </w:rPr>
        <w:tab/>
      </w:r>
      <w:r w:rsidRPr="00BC23E1">
        <w:rPr>
          <w:i/>
          <w:color w:val="4472C4" w:themeColor="accent5"/>
        </w:rPr>
        <w:t>marijuana establishment for the prevention of diversion, theft or loss of marijuana;</w:t>
      </w:r>
    </w:p>
    <w:p w:rsidR="00DD6BA5" w:rsidRPr="00BC23E1" w:rsidRDefault="00DD6BA5" w:rsidP="00BC23E1">
      <w:pPr>
        <w:spacing w:after="0"/>
        <w:ind w:left="720"/>
        <w:rPr>
          <w:i/>
          <w:color w:val="4472C4" w:themeColor="accent5"/>
        </w:rPr>
      </w:pPr>
      <w:r w:rsidRPr="00BC23E1">
        <w:rPr>
          <w:i/>
          <w:color w:val="4472C4" w:themeColor="accent5"/>
        </w:rPr>
        <w:t>    </w:t>
      </w:r>
      <w:r w:rsidR="00BC23E1">
        <w:rPr>
          <w:i/>
          <w:color w:val="4472C4" w:themeColor="accent5"/>
        </w:rPr>
        <w:tab/>
      </w:r>
      <w:r w:rsidRPr="00BC23E1">
        <w:rPr>
          <w:i/>
          <w:color w:val="4472C4" w:themeColor="accent5"/>
        </w:rPr>
        <w:t>(b)</w:t>
      </w:r>
      <w:r w:rsidRPr="00BC23E1">
        <w:rPr>
          <w:rFonts w:ascii="Lucida Sans Unicode" w:hAnsi="Lucida Sans Unicode" w:cs="Lucida Sans Unicode"/>
          <w:i/>
          <w:color w:val="4472C4" w:themeColor="accent5"/>
        </w:rPr>
        <w:t> </w:t>
      </w:r>
      <w:r w:rsidRPr="00BC23E1">
        <w:rPr>
          <w:i/>
          <w:color w:val="4472C4" w:themeColor="accent5"/>
        </w:rPr>
        <w:t>Procedures and instructions for responding to an emergency; and</w:t>
      </w:r>
    </w:p>
    <w:p w:rsidR="00DD6BA5" w:rsidRPr="00BC23E1" w:rsidRDefault="00DD6BA5" w:rsidP="00BC23E1">
      <w:pPr>
        <w:spacing w:after="0"/>
        <w:ind w:left="720"/>
        <w:rPr>
          <w:i/>
          <w:color w:val="4472C4" w:themeColor="accent5"/>
        </w:rPr>
      </w:pPr>
      <w:r w:rsidRPr="00BC23E1">
        <w:rPr>
          <w:i/>
          <w:color w:val="4472C4" w:themeColor="accent5"/>
        </w:rPr>
        <w:lastRenderedPageBreak/>
        <w:t xml:space="preserve">     </w:t>
      </w:r>
      <w:r w:rsidR="00BC23E1">
        <w:rPr>
          <w:i/>
          <w:color w:val="4472C4" w:themeColor="accent5"/>
        </w:rPr>
        <w:tab/>
      </w:r>
      <w:r w:rsidRPr="00BC23E1">
        <w:rPr>
          <w:i/>
          <w:color w:val="4472C4" w:themeColor="accent5"/>
        </w:rPr>
        <w:t>(c</w:t>
      </w:r>
      <w:proofErr w:type="gramStart"/>
      <w:r w:rsidRPr="00BC23E1">
        <w:rPr>
          <w:i/>
          <w:color w:val="4472C4" w:themeColor="accent5"/>
        </w:rPr>
        <w:t>)</w:t>
      </w:r>
      <w:proofErr w:type="gramEnd"/>
      <w:r w:rsidRPr="00BC23E1">
        <w:rPr>
          <w:rFonts w:ascii="Lucida Sans Unicode" w:hAnsi="Lucida Sans Unicode" w:cs="Lucida Sans Unicode"/>
          <w:i/>
          <w:color w:val="4472C4" w:themeColor="accent5"/>
        </w:rPr>
        <w:t> </w:t>
      </w:r>
      <w:r w:rsidRPr="00BC23E1">
        <w:rPr>
          <w:i/>
          <w:color w:val="4472C4" w:themeColor="accent5"/>
        </w:rPr>
        <w:t>State and federal statutes and regulations related to the use of marijuana.</w:t>
      </w:r>
    </w:p>
    <w:p w:rsidR="00DD6BA5" w:rsidRPr="005F57F6" w:rsidRDefault="00DD6BA5" w:rsidP="00BC23E1">
      <w:pPr>
        <w:spacing w:after="0"/>
        <w:ind w:left="648"/>
        <w:rPr>
          <w:i/>
          <w:color w:val="4472C4" w:themeColor="accent5"/>
        </w:rPr>
      </w:pPr>
      <w:r w:rsidRPr="005F57F6">
        <w:rPr>
          <w:i/>
          <w:color w:val="0070C0"/>
        </w:rPr>
        <w:t xml:space="preserve"> 4</w:t>
      </w:r>
      <w:r w:rsidR="00BC23E1">
        <w:rPr>
          <w:i/>
          <w:color w:val="0070C0"/>
        </w:rPr>
        <w:t>.</w:t>
      </w:r>
      <w:r w:rsidR="00BC23E1">
        <w:rPr>
          <w:rFonts w:ascii="Lucida Sans Unicode" w:hAnsi="Lucida Sans Unicode" w:cs="Lucida Sans Unicode"/>
          <w:i/>
          <w:color w:val="0070C0"/>
        </w:rPr>
        <w:tab/>
      </w:r>
      <w:r w:rsidRPr="005F57F6">
        <w:rPr>
          <w:i/>
          <w:color w:val="0070C0"/>
        </w:rPr>
        <w:t xml:space="preserve">In addition to the training set forth in subsection 3, a </w:t>
      </w:r>
      <w:r w:rsidRPr="00BC23E1">
        <w:rPr>
          <w:i/>
          <w:color w:val="4472C4" w:themeColor="accent5"/>
        </w:rPr>
        <w:t xml:space="preserve">marijuana </w:t>
      </w:r>
      <w:r w:rsidR="00623799" w:rsidRPr="00BC23E1">
        <w:rPr>
          <w:i/>
          <w:color w:val="4472C4" w:themeColor="accent5"/>
        </w:rPr>
        <w:t xml:space="preserve">retail store </w:t>
      </w:r>
      <w:r w:rsidRPr="00BC23E1">
        <w:rPr>
          <w:i/>
          <w:color w:val="4472C4" w:themeColor="accent5"/>
        </w:rPr>
        <w:t>shall</w:t>
      </w:r>
      <w:r w:rsidR="00BC23E1">
        <w:rPr>
          <w:i/>
          <w:color w:val="0070C0"/>
        </w:rPr>
        <w:t xml:space="preserve"> ensure </w:t>
      </w:r>
      <w:r w:rsidR="00BC23E1">
        <w:rPr>
          <w:i/>
          <w:color w:val="0070C0"/>
        </w:rPr>
        <w:tab/>
        <w:t xml:space="preserve">  </w:t>
      </w:r>
      <w:r w:rsidR="00BC23E1">
        <w:rPr>
          <w:i/>
          <w:color w:val="0070C0"/>
        </w:rPr>
        <w:tab/>
      </w:r>
      <w:r w:rsidR="00BC23E1">
        <w:rPr>
          <w:i/>
          <w:color w:val="0070C0"/>
        </w:rPr>
        <w:tab/>
      </w:r>
      <w:r w:rsidRPr="005F57F6">
        <w:rPr>
          <w:i/>
          <w:color w:val="0070C0"/>
        </w:rPr>
        <w:t xml:space="preserve">that instruction is provided to a marijuana establishment agent </w:t>
      </w:r>
      <w:r w:rsidRPr="005F57F6">
        <w:rPr>
          <w:i/>
          <w:color w:val="4472C4" w:themeColor="accent5"/>
        </w:rPr>
        <w:t xml:space="preserve">before that person </w:t>
      </w:r>
      <w:r w:rsidR="00BC23E1">
        <w:rPr>
          <w:i/>
          <w:color w:val="4472C4" w:themeColor="accent5"/>
        </w:rPr>
        <w:tab/>
      </w:r>
      <w:r w:rsidR="00BC23E1">
        <w:rPr>
          <w:i/>
          <w:color w:val="4472C4" w:themeColor="accent5"/>
        </w:rPr>
        <w:tab/>
      </w:r>
      <w:r w:rsidR="00BC23E1">
        <w:rPr>
          <w:i/>
          <w:color w:val="4472C4" w:themeColor="accent5"/>
        </w:rPr>
        <w:tab/>
      </w:r>
      <w:r w:rsidRPr="005F57F6">
        <w:rPr>
          <w:i/>
          <w:color w:val="4472C4" w:themeColor="accent5"/>
        </w:rPr>
        <w:t xml:space="preserve">begins to work or volunteer at the </w:t>
      </w:r>
      <w:r w:rsidRPr="00BC23E1">
        <w:rPr>
          <w:i/>
          <w:color w:val="4472C4" w:themeColor="accent5"/>
        </w:rPr>
        <w:t>marijuana</w:t>
      </w:r>
      <w:r w:rsidR="00623799" w:rsidRPr="00BC23E1">
        <w:rPr>
          <w:i/>
          <w:color w:val="4472C4" w:themeColor="accent5"/>
        </w:rPr>
        <w:t xml:space="preserve"> retail store.</w:t>
      </w:r>
      <w:r w:rsidRPr="00BC23E1">
        <w:rPr>
          <w:i/>
          <w:color w:val="4472C4" w:themeColor="accent5"/>
        </w:rPr>
        <w:t xml:space="preserve"> Such</w:t>
      </w:r>
      <w:r w:rsidRPr="005F57F6">
        <w:rPr>
          <w:i/>
          <w:color w:val="4472C4" w:themeColor="accent5"/>
        </w:rPr>
        <w:t xml:space="preserve"> instruction must include, </w:t>
      </w:r>
      <w:r w:rsidR="00BC23E1">
        <w:rPr>
          <w:i/>
          <w:color w:val="4472C4" w:themeColor="accent5"/>
        </w:rPr>
        <w:tab/>
      </w:r>
      <w:r w:rsidR="00BC23E1">
        <w:rPr>
          <w:i/>
          <w:color w:val="4472C4" w:themeColor="accent5"/>
        </w:rPr>
        <w:tab/>
      </w:r>
      <w:r w:rsidR="00BC23E1">
        <w:rPr>
          <w:i/>
          <w:color w:val="4472C4" w:themeColor="accent5"/>
        </w:rPr>
        <w:tab/>
      </w:r>
      <w:r w:rsidRPr="005F57F6">
        <w:rPr>
          <w:i/>
          <w:color w:val="4472C4" w:themeColor="accent5"/>
        </w:rPr>
        <w:t>without limitation:</w:t>
      </w:r>
    </w:p>
    <w:p w:rsidR="00DD6BA5" w:rsidRPr="005F57F6" w:rsidRDefault="00DD6BA5" w:rsidP="00BC23E1">
      <w:pPr>
        <w:spacing w:after="0"/>
        <w:ind w:left="720"/>
        <w:rPr>
          <w:i/>
          <w:color w:val="4472C4" w:themeColor="accent5"/>
        </w:rPr>
      </w:pPr>
      <w:r w:rsidRPr="005F57F6">
        <w:rPr>
          <w:i/>
          <w:color w:val="4472C4" w:themeColor="accent5"/>
        </w:rPr>
        <w:t xml:space="preserve">     </w:t>
      </w:r>
      <w:r w:rsidR="00BC23E1">
        <w:rPr>
          <w:i/>
          <w:color w:val="4472C4" w:themeColor="accent5"/>
        </w:rPr>
        <w:tab/>
      </w:r>
      <w:r w:rsidRPr="005F57F6">
        <w:rPr>
          <w:i/>
          <w:color w:val="4472C4" w:themeColor="accent5"/>
        </w:rPr>
        <w:t>(a)</w:t>
      </w:r>
      <w:r w:rsidRPr="005F57F6">
        <w:rPr>
          <w:rFonts w:ascii="Lucida Sans Unicode" w:hAnsi="Lucida Sans Unicode" w:cs="Lucida Sans Unicode"/>
          <w:i/>
          <w:color w:val="4472C4" w:themeColor="accent5"/>
        </w:rPr>
        <w:t> </w:t>
      </w:r>
      <w:r w:rsidRPr="005F57F6">
        <w:rPr>
          <w:i/>
          <w:color w:val="4472C4" w:themeColor="accent5"/>
        </w:rPr>
        <w:t>The different strains of marijuana;</w:t>
      </w:r>
    </w:p>
    <w:p w:rsidR="00DD6BA5" w:rsidRPr="005F57F6" w:rsidRDefault="00DD6BA5" w:rsidP="00BC23E1">
      <w:pPr>
        <w:spacing w:after="0"/>
        <w:ind w:left="720"/>
        <w:rPr>
          <w:i/>
          <w:color w:val="4472C4" w:themeColor="accent5"/>
        </w:rPr>
      </w:pPr>
      <w:r w:rsidRPr="005F57F6">
        <w:rPr>
          <w:i/>
          <w:color w:val="4472C4" w:themeColor="accent5"/>
        </w:rPr>
        <w:t xml:space="preserve">     </w:t>
      </w:r>
      <w:r w:rsidR="00BC23E1">
        <w:rPr>
          <w:i/>
          <w:color w:val="4472C4" w:themeColor="accent5"/>
        </w:rPr>
        <w:tab/>
      </w:r>
      <w:r w:rsidRPr="005F57F6">
        <w:rPr>
          <w:i/>
          <w:color w:val="4472C4" w:themeColor="accent5"/>
        </w:rPr>
        <w:t>(b)</w:t>
      </w:r>
      <w:r w:rsidRPr="005F57F6">
        <w:rPr>
          <w:rFonts w:ascii="Lucida Sans Unicode" w:hAnsi="Lucida Sans Unicode" w:cs="Lucida Sans Unicode"/>
          <w:i/>
          <w:color w:val="4472C4" w:themeColor="accent5"/>
        </w:rPr>
        <w:t> </w:t>
      </w:r>
      <w:r w:rsidRPr="005F57F6">
        <w:rPr>
          <w:i/>
          <w:color w:val="4472C4" w:themeColor="accent5"/>
        </w:rPr>
        <w:t>The different methods of using marijuana, edible marijuana products and marijuana-</w:t>
      </w:r>
      <w:r w:rsidR="00BC23E1">
        <w:rPr>
          <w:i/>
          <w:color w:val="4472C4" w:themeColor="accent5"/>
        </w:rPr>
        <w:tab/>
      </w:r>
      <w:r w:rsidRPr="005F57F6">
        <w:rPr>
          <w:i/>
          <w:color w:val="4472C4" w:themeColor="accent5"/>
        </w:rPr>
        <w:t>infused products; and</w:t>
      </w:r>
    </w:p>
    <w:p w:rsidR="00DD6BA5" w:rsidRPr="00BC23E1" w:rsidRDefault="00DD6BA5" w:rsidP="00BC23E1">
      <w:pPr>
        <w:spacing w:after="0"/>
        <w:ind w:left="720"/>
        <w:rPr>
          <w:i/>
          <w:color w:val="4472C4" w:themeColor="accent5"/>
        </w:rPr>
      </w:pPr>
      <w:r w:rsidRPr="005F57F6">
        <w:rPr>
          <w:i/>
          <w:color w:val="4472C4" w:themeColor="accent5"/>
        </w:rPr>
        <w:t xml:space="preserve">     </w:t>
      </w:r>
      <w:r w:rsidR="00BC23E1">
        <w:rPr>
          <w:i/>
          <w:color w:val="4472C4" w:themeColor="accent5"/>
        </w:rPr>
        <w:tab/>
      </w:r>
      <w:r w:rsidRPr="00BC23E1">
        <w:rPr>
          <w:i/>
          <w:color w:val="4472C4" w:themeColor="accent5"/>
        </w:rPr>
        <w:t>(c)</w:t>
      </w:r>
      <w:r w:rsidRPr="00BC23E1">
        <w:rPr>
          <w:rFonts w:ascii="Lucida Sans Unicode" w:hAnsi="Lucida Sans Unicode" w:cs="Lucida Sans Unicode"/>
          <w:i/>
          <w:color w:val="4472C4" w:themeColor="accent5"/>
        </w:rPr>
        <w:t> </w:t>
      </w:r>
      <w:r w:rsidRPr="00BC23E1">
        <w:rPr>
          <w:i/>
          <w:color w:val="4472C4" w:themeColor="accent5"/>
        </w:rPr>
        <w:t>Learning to recognize signs of</w:t>
      </w:r>
      <w:r w:rsidR="00BC23E1" w:rsidRPr="00BC23E1">
        <w:rPr>
          <w:i/>
          <w:color w:val="4472C4" w:themeColor="accent5"/>
        </w:rPr>
        <w:t xml:space="preserve"> </w:t>
      </w:r>
      <w:r w:rsidR="00623799" w:rsidRPr="00BC23E1">
        <w:rPr>
          <w:i/>
          <w:color w:val="4472C4" w:themeColor="accent5"/>
        </w:rPr>
        <w:t>marijuana</w:t>
      </w:r>
      <w:r w:rsidRPr="00BC23E1">
        <w:rPr>
          <w:i/>
          <w:color w:val="4472C4" w:themeColor="accent5"/>
        </w:rPr>
        <w:t xml:space="preserve"> </w:t>
      </w:r>
      <w:r w:rsidR="00BC23E1" w:rsidRPr="00BC23E1">
        <w:rPr>
          <w:i/>
          <w:color w:val="4472C4" w:themeColor="accent5"/>
        </w:rPr>
        <w:t>abuse or instability in the</w:t>
      </w:r>
      <w:r w:rsidR="00623799" w:rsidRPr="00BC23E1">
        <w:rPr>
          <w:i/>
          <w:color w:val="4472C4" w:themeColor="accent5"/>
        </w:rPr>
        <w:t xml:space="preserve"> recreational</w:t>
      </w:r>
      <w:r w:rsidRPr="00BC23E1">
        <w:rPr>
          <w:i/>
          <w:color w:val="4472C4" w:themeColor="accent5"/>
        </w:rPr>
        <w:t xml:space="preserve"> use </w:t>
      </w:r>
      <w:r w:rsidR="00BC23E1" w:rsidRPr="00BC23E1">
        <w:rPr>
          <w:i/>
          <w:color w:val="4472C4" w:themeColor="accent5"/>
        </w:rPr>
        <w:tab/>
        <w:t>of marijuana by a</w:t>
      </w:r>
      <w:r w:rsidR="00623799" w:rsidRPr="00BC23E1">
        <w:rPr>
          <w:i/>
          <w:color w:val="4472C4" w:themeColor="accent5"/>
        </w:rPr>
        <w:t xml:space="preserve"> consumer</w:t>
      </w:r>
      <w:r w:rsidRPr="00BC23E1">
        <w:rPr>
          <w:i/>
          <w:color w:val="4472C4" w:themeColor="accent5"/>
        </w:rPr>
        <w:t>.</w:t>
      </w:r>
      <w:r w:rsidR="00623799" w:rsidRPr="00BC23E1">
        <w:rPr>
          <w:i/>
          <w:color w:val="4472C4" w:themeColor="accent5"/>
        </w:rPr>
        <w:t xml:space="preserve"> </w:t>
      </w:r>
    </w:p>
    <w:p w:rsidR="00DD6BA5" w:rsidRPr="00BC23E1" w:rsidRDefault="00DD6BA5" w:rsidP="00BC23E1">
      <w:pPr>
        <w:spacing w:after="0"/>
        <w:ind w:left="720"/>
        <w:rPr>
          <w:i/>
          <w:color w:val="4472C4" w:themeColor="accent5"/>
        </w:rPr>
      </w:pPr>
      <w:r w:rsidRPr="00BC23E1">
        <w:rPr>
          <w:i/>
          <w:color w:val="4472C4" w:themeColor="accent5"/>
        </w:rPr>
        <w:t xml:space="preserve"> 5</w:t>
      </w:r>
      <w:r w:rsidR="00BC23E1">
        <w:rPr>
          <w:i/>
          <w:color w:val="4472C4" w:themeColor="accent5"/>
        </w:rPr>
        <w:t>.</w:t>
      </w:r>
      <w:r w:rsidR="00BC23E1">
        <w:rPr>
          <w:rFonts w:ascii="Lucida Sans Unicode" w:hAnsi="Lucida Sans Unicode" w:cs="Lucida Sans Unicode"/>
          <w:i/>
          <w:color w:val="4472C4" w:themeColor="accent5"/>
        </w:rPr>
        <w:tab/>
      </w:r>
      <w:r w:rsidRPr="00BC23E1">
        <w:rPr>
          <w:i/>
          <w:color w:val="4472C4" w:themeColor="accent5"/>
        </w:rPr>
        <w:t xml:space="preserve">In addition to the training set forth in subsection 3, an independent testing laboratory </w:t>
      </w:r>
      <w:r w:rsidR="00BC23E1">
        <w:rPr>
          <w:i/>
          <w:color w:val="4472C4" w:themeColor="accent5"/>
        </w:rPr>
        <w:tab/>
      </w:r>
      <w:r w:rsidRPr="00BC23E1">
        <w:rPr>
          <w:i/>
          <w:color w:val="4472C4" w:themeColor="accent5"/>
        </w:rPr>
        <w:t>shall ensure th</w:t>
      </w:r>
      <w:r w:rsidR="00EC2D09">
        <w:rPr>
          <w:i/>
          <w:color w:val="4472C4" w:themeColor="accent5"/>
        </w:rPr>
        <w:t>at instruction is provided to a</w:t>
      </w:r>
      <w:r w:rsidRPr="00BC23E1">
        <w:rPr>
          <w:i/>
          <w:color w:val="4472C4" w:themeColor="accent5"/>
        </w:rPr>
        <w:t xml:space="preserve"> marijuana establishment agent before that </w:t>
      </w:r>
      <w:r w:rsidR="00BC23E1">
        <w:rPr>
          <w:i/>
          <w:color w:val="4472C4" w:themeColor="accent5"/>
        </w:rPr>
        <w:tab/>
      </w:r>
      <w:r w:rsidRPr="00BC23E1">
        <w:rPr>
          <w:i/>
          <w:color w:val="4472C4" w:themeColor="accent5"/>
        </w:rPr>
        <w:t xml:space="preserve">person begins to work or volunteer at the independent testing laboratory. Such </w:t>
      </w:r>
      <w:r w:rsidR="00BC23E1">
        <w:rPr>
          <w:i/>
          <w:color w:val="4472C4" w:themeColor="accent5"/>
        </w:rPr>
        <w:tab/>
      </w:r>
      <w:r w:rsidRPr="00BC23E1">
        <w:rPr>
          <w:i/>
          <w:color w:val="4472C4" w:themeColor="accent5"/>
        </w:rPr>
        <w:t>instruction must include, without limitation:</w:t>
      </w:r>
    </w:p>
    <w:p w:rsidR="00DD6BA5" w:rsidRPr="00BC23E1" w:rsidRDefault="00DD6BA5" w:rsidP="00BC23E1">
      <w:pPr>
        <w:spacing w:after="0"/>
        <w:ind w:left="720"/>
        <w:rPr>
          <w:i/>
          <w:color w:val="4472C4" w:themeColor="accent5"/>
        </w:rPr>
      </w:pPr>
      <w:r w:rsidRPr="00BC23E1">
        <w:rPr>
          <w:i/>
          <w:color w:val="4472C4" w:themeColor="accent5"/>
        </w:rPr>
        <w:t xml:space="preserve">     </w:t>
      </w:r>
      <w:r w:rsidR="00BC23E1">
        <w:rPr>
          <w:i/>
          <w:color w:val="4472C4" w:themeColor="accent5"/>
        </w:rPr>
        <w:tab/>
      </w:r>
      <w:r w:rsidRPr="00BC23E1">
        <w:rPr>
          <w:i/>
          <w:color w:val="4472C4" w:themeColor="accent5"/>
        </w:rPr>
        <w:t>(a)</w:t>
      </w:r>
      <w:r w:rsidRPr="00BC23E1">
        <w:rPr>
          <w:rFonts w:ascii="Lucida Sans Unicode" w:hAnsi="Lucida Sans Unicode" w:cs="Lucida Sans Unicode"/>
          <w:i/>
          <w:color w:val="4472C4" w:themeColor="accent5"/>
        </w:rPr>
        <w:t> </w:t>
      </w:r>
      <w:r w:rsidRPr="00BC23E1">
        <w:rPr>
          <w:i/>
          <w:color w:val="4472C4" w:themeColor="accent5"/>
        </w:rPr>
        <w:t>The good laboratory practices adopted by the independent testing laboratory; and</w:t>
      </w:r>
    </w:p>
    <w:p w:rsidR="00DD6BA5" w:rsidRPr="00BC23E1" w:rsidRDefault="00DD6BA5" w:rsidP="00BC23E1">
      <w:pPr>
        <w:spacing w:after="0"/>
        <w:ind w:left="720"/>
        <w:rPr>
          <w:i/>
          <w:color w:val="4472C4" w:themeColor="accent5"/>
        </w:rPr>
      </w:pPr>
      <w:r w:rsidRPr="00BC23E1">
        <w:rPr>
          <w:i/>
          <w:color w:val="4472C4" w:themeColor="accent5"/>
        </w:rPr>
        <w:t xml:space="preserve">     </w:t>
      </w:r>
      <w:r w:rsidR="00BC23E1">
        <w:rPr>
          <w:i/>
          <w:color w:val="4472C4" w:themeColor="accent5"/>
        </w:rPr>
        <w:tab/>
      </w:r>
      <w:r w:rsidRPr="00BC23E1">
        <w:rPr>
          <w:i/>
          <w:color w:val="4472C4" w:themeColor="accent5"/>
        </w:rPr>
        <w:t>(b)</w:t>
      </w:r>
      <w:r w:rsidRPr="00BC23E1">
        <w:rPr>
          <w:rFonts w:ascii="Lucida Sans Unicode" w:hAnsi="Lucida Sans Unicode" w:cs="Lucida Sans Unicode"/>
          <w:i/>
          <w:color w:val="4472C4" w:themeColor="accent5"/>
        </w:rPr>
        <w:t> </w:t>
      </w:r>
      <w:r w:rsidRPr="00BC23E1">
        <w:rPr>
          <w:i/>
          <w:color w:val="4472C4" w:themeColor="accent5"/>
        </w:rPr>
        <w:t xml:space="preserve">The standard operating procedures and the quality control and quality assurance </w:t>
      </w:r>
      <w:r w:rsidR="00BC23E1">
        <w:rPr>
          <w:i/>
          <w:color w:val="4472C4" w:themeColor="accent5"/>
        </w:rPr>
        <w:tab/>
      </w:r>
      <w:r w:rsidRPr="00BC23E1">
        <w:rPr>
          <w:i/>
          <w:color w:val="4472C4" w:themeColor="accent5"/>
        </w:rPr>
        <w:t>programs of the independent testing laboratory.</w:t>
      </w:r>
    </w:p>
    <w:p w:rsidR="00DD6BA5" w:rsidRPr="005F57F6" w:rsidRDefault="00EC2D09" w:rsidP="00BC23E1">
      <w:pPr>
        <w:spacing w:after="0"/>
        <w:ind w:left="720"/>
        <w:rPr>
          <w:i/>
          <w:color w:val="0070C0"/>
        </w:rPr>
      </w:pPr>
      <w:r>
        <w:rPr>
          <w:i/>
          <w:color w:val="4472C4" w:themeColor="accent5"/>
        </w:rPr>
        <w:t> </w:t>
      </w:r>
      <w:r w:rsidR="00DD6BA5" w:rsidRPr="00BC23E1">
        <w:rPr>
          <w:i/>
          <w:color w:val="4472C4" w:themeColor="accent5"/>
        </w:rPr>
        <w:t>6</w:t>
      </w:r>
      <w:r w:rsidR="00BC23E1">
        <w:rPr>
          <w:i/>
          <w:color w:val="4472C4" w:themeColor="accent5"/>
        </w:rPr>
        <w:t>.</w:t>
      </w:r>
      <w:r w:rsidR="00BC23E1">
        <w:rPr>
          <w:i/>
          <w:color w:val="4472C4" w:themeColor="accent5"/>
        </w:rPr>
        <w:tab/>
      </w:r>
      <w:r w:rsidR="00DD6BA5" w:rsidRPr="00BC23E1">
        <w:rPr>
          <w:i/>
          <w:color w:val="4472C4" w:themeColor="accent5"/>
        </w:rPr>
        <w:t xml:space="preserve">In addition to the training set forth in subsection 3, a cultivation facility shall ensure that </w:t>
      </w:r>
      <w:r w:rsidR="00BC23E1">
        <w:rPr>
          <w:i/>
          <w:color w:val="4472C4" w:themeColor="accent5"/>
        </w:rPr>
        <w:tab/>
      </w:r>
      <w:r w:rsidR="00DD6BA5" w:rsidRPr="00BC23E1">
        <w:rPr>
          <w:i/>
          <w:color w:val="4472C4" w:themeColor="accent5"/>
        </w:rPr>
        <w:t>instruction is provided</w:t>
      </w:r>
      <w:r w:rsidR="00DD6BA5" w:rsidRPr="005F57F6">
        <w:rPr>
          <w:i/>
          <w:color w:val="0070C0"/>
        </w:rPr>
        <w:t xml:space="preserve"> to a</w:t>
      </w:r>
      <w:r w:rsidR="00DD6BA5" w:rsidRPr="005F57F6">
        <w:rPr>
          <w:i/>
          <w:color w:val="FF0000"/>
        </w:rPr>
        <w:t xml:space="preserve"> </w:t>
      </w:r>
      <w:r w:rsidR="00DD6BA5" w:rsidRPr="005F57F6">
        <w:rPr>
          <w:i/>
          <w:color w:val="0070C0"/>
        </w:rPr>
        <w:t xml:space="preserve">marijuana establishment agent before that person begins to </w:t>
      </w:r>
      <w:r w:rsidR="00BC23E1">
        <w:rPr>
          <w:i/>
          <w:color w:val="0070C0"/>
        </w:rPr>
        <w:tab/>
      </w:r>
      <w:r w:rsidR="00DD6BA5" w:rsidRPr="005F57F6">
        <w:rPr>
          <w:i/>
          <w:color w:val="0070C0"/>
        </w:rPr>
        <w:t xml:space="preserve">work or volunteer at the cultivation facility. Such instruction must include, without </w:t>
      </w:r>
      <w:r w:rsidR="00BC23E1">
        <w:rPr>
          <w:i/>
          <w:color w:val="0070C0"/>
        </w:rPr>
        <w:tab/>
      </w:r>
      <w:r w:rsidR="00DD6BA5" w:rsidRPr="005F57F6">
        <w:rPr>
          <w:i/>
          <w:color w:val="0070C0"/>
        </w:rPr>
        <w:t>limitation:</w:t>
      </w:r>
    </w:p>
    <w:p w:rsidR="00DD6BA5" w:rsidRPr="005F57F6" w:rsidRDefault="00DD6BA5" w:rsidP="00BC23E1">
      <w:pPr>
        <w:spacing w:after="0"/>
        <w:ind w:left="720"/>
        <w:rPr>
          <w:i/>
          <w:color w:val="0070C0"/>
        </w:rPr>
      </w:pPr>
      <w:r w:rsidRPr="005F57F6">
        <w:rPr>
          <w:i/>
          <w:color w:val="0070C0"/>
        </w:rPr>
        <w:t>    </w:t>
      </w:r>
      <w:r w:rsidR="00BC23E1">
        <w:rPr>
          <w:i/>
          <w:color w:val="0070C0"/>
        </w:rPr>
        <w:tab/>
      </w:r>
      <w:r w:rsidRPr="005F57F6">
        <w:rPr>
          <w:i/>
          <w:color w:val="0070C0"/>
        </w:rPr>
        <w:t xml:space="preserve"> (a)</w:t>
      </w:r>
      <w:r w:rsidRPr="005F57F6">
        <w:rPr>
          <w:rFonts w:ascii="Lucida Sans Unicode" w:hAnsi="Lucida Sans Unicode" w:cs="Lucida Sans Unicode"/>
          <w:i/>
          <w:color w:val="0070C0"/>
        </w:rPr>
        <w:t> </w:t>
      </w:r>
      <w:r w:rsidRPr="005F57F6">
        <w:rPr>
          <w:i/>
          <w:color w:val="0070C0"/>
        </w:rPr>
        <w:t>The methods of cultivation used by the cultivation facility;</w:t>
      </w:r>
    </w:p>
    <w:p w:rsidR="00DD6BA5" w:rsidRPr="005F57F6" w:rsidRDefault="00DD6BA5" w:rsidP="00BC23E1">
      <w:pPr>
        <w:spacing w:after="0"/>
        <w:ind w:left="720"/>
        <w:rPr>
          <w:i/>
          <w:color w:val="0070C0"/>
        </w:rPr>
      </w:pPr>
      <w:r w:rsidRPr="005F57F6">
        <w:rPr>
          <w:i/>
          <w:color w:val="0070C0"/>
        </w:rPr>
        <w:t>    </w:t>
      </w:r>
      <w:r w:rsidR="00BC23E1">
        <w:rPr>
          <w:i/>
          <w:color w:val="0070C0"/>
        </w:rPr>
        <w:tab/>
      </w:r>
      <w:r w:rsidRPr="005F57F6">
        <w:rPr>
          <w:i/>
          <w:color w:val="0070C0"/>
        </w:rPr>
        <w:t xml:space="preserve"> (b)</w:t>
      </w:r>
      <w:r w:rsidRPr="005F57F6">
        <w:rPr>
          <w:rFonts w:ascii="Lucida Sans Unicode" w:hAnsi="Lucida Sans Unicode" w:cs="Lucida Sans Unicode"/>
          <w:i/>
          <w:color w:val="0070C0"/>
        </w:rPr>
        <w:t> </w:t>
      </w:r>
      <w:r w:rsidRPr="005F57F6">
        <w:rPr>
          <w:i/>
          <w:color w:val="0070C0"/>
        </w:rPr>
        <w:t>The methods of fertilization used by the cultivation facility;</w:t>
      </w:r>
    </w:p>
    <w:p w:rsidR="00DD6BA5" w:rsidRPr="005F57F6" w:rsidRDefault="00DD6BA5" w:rsidP="00BC23E1">
      <w:pPr>
        <w:spacing w:after="0"/>
        <w:ind w:left="720"/>
        <w:rPr>
          <w:i/>
          <w:color w:val="0070C0"/>
        </w:rPr>
      </w:pPr>
      <w:r w:rsidRPr="005F57F6">
        <w:rPr>
          <w:i/>
          <w:color w:val="0070C0"/>
        </w:rPr>
        <w:t xml:space="preserve">     </w:t>
      </w:r>
      <w:r w:rsidR="00BC23E1">
        <w:rPr>
          <w:i/>
          <w:color w:val="0070C0"/>
        </w:rPr>
        <w:tab/>
      </w:r>
      <w:r w:rsidRPr="005F57F6">
        <w:rPr>
          <w:i/>
          <w:color w:val="0070C0"/>
        </w:rPr>
        <w:t>(c)</w:t>
      </w:r>
      <w:r w:rsidRPr="005F57F6">
        <w:rPr>
          <w:rFonts w:ascii="Lucida Sans Unicode" w:hAnsi="Lucida Sans Unicode" w:cs="Lucida Sans Unicode"/>
          <w:i/>
          <w:color w:val="0070C0"/>
        </w:rPr>
        <w:t> </w:t>
      </w:r>
      <w:r w:rsidRPr="005F57F6">
        <w:rPr>
          <w:i/>
          <w:color w:val="0070C0"/>
        </w:rPr>
        <w:t xml:space="preserve">Methods for recognizing the signs of insect infestation, pathogens and disease in </w:t>
      </w:r>
      <w:r w:rsidR="00BC23E1">
        <w:rPr>
          <w:i/>
          <w:color w:val="0070C0"/>
        </w:rPr>
        <w:tab/>
      </w:r>
      <w:r w:rsidRPr="005F57F6">
        <w:rPr>
          <w:i/>
          <w:color w:val="0070C0"/>
        </w:rPr>
        <w:t xml:space="preserve">marijuana plants, and the procedures for eradication and the safe disposal of plants so </w:t>
      </w:r>
      <w:r w:rsidR="00BC23E1">
        <w:rPr>
          <w:i/>
          <w:color w:val="0070C0"/>
        </w:rPr>
        <w:tab/>
      </w:r>
      <w:r w:rsidRPr="005F57F6">
        <w:rPr>
          <w:i/>
          <w:color w:val="0070C0"/>
        </w:rPr>
        <w:t>affected;</w:t>
      </w:r>
    </w:p>
    <w:p w:rsidR="00DD6BA5" w:rsidRPr="005F57F6" w:rsidRDefault="00DD6BA5" w:rsidP="00BC23E1">
      <w:pPr>
        <w:spacing w:after="0"/>
        <w:ind w:left="720"/>
        <w:rPr>
          <w:i/>
          <w:color w:val="0070C0"/>
        </w:rPr>
      </w:pPr>
      <w:r w:rsidRPr="005F57F6">
        <w:rPr>
          <w:i/>
          <w:color w:val="0070C0"/>
        </w:rPr>
        <w:t>    </w:t>
      </w:r>
      <w:r w:rsidR="00BC23E1">
        <w:rPr>
          <w:i/>
          <w:color w:val="0070C0"/>
        </w:rPr>
        <w:tab/>
      </w:r>
      <w:r w:rsidRPr="005F57F6">
        <w:rPr>
          <w:i/>
          <w:color w:val="0070C0"/>
        </w:rPr>
        <w:t>(d)</w:t>
      </w:r>
      <w:r w:rsidRPr="005F57F6">
        <w:rPr>
          <w:rFonts w:ascii="Lucida Sans Unicode" w:hAnsi="Lucida Sans Unicode" w:cs="Lucida Sans Unicode"/>
          <w:i/>
          <w:color w:val="0070C0"/>
        </w:rPr>
        <w:t> </w:t>
      </w:r>
      <w:r w:rsidRPr="005F57F6">
        <w:rPr>
          <w:i/>
          <w:color w:val="0070C0"/>
        </w:rPr>
        <w:t xml:space="preserve">The nutritional requirements of marijuana plants at various growth stages, </w:t>
      </w:r>
      <w:r w:rsidR="00BC23E1">
        <w:rPr>
          <w:i/>
          <w:color w:val="0070C0"/>
        </w:rPr>
        <w:tab/>
      </w:r>
      <w:r w:rsidRPr="005F57F6">
        <w:rPr>
          <w:i/>
          <w:color w:val="0070C0"/>
        </w:rPr>
        <w:t xml:space="preserve">including, without limitation, proper mixing and dispersal of fertilizer, flushing </w:t>
      </w:r>
      <w:r w:rsidR="00BC23E1">
        <w:rPr>
          <w:i/>
          <w:color w:val="0070C0"/>
        </w:rPr>
        <w:tab/>
      </w:r>
      <w:r w:rsidRPr="005F57F6">
        <w:rPr>
          <w:i/>
          <w:color w:val="0070C0"/>
        </w:rPr>
        <w:t>procedures and procedures for postharvest trimming, drying and curing; and</w:t>
      </w:r>
    </w:p>
    <w:p w:rsidR="00951A21" w:rsidRPr="00951A21" w:rsidRDefault="00DD6BA5" w:rsidP="00BC23E1">
      <w:pPr>
        <w:spacing w:after="0"/>
        <w:ind w:left="720"/>
        <w:rPr>
          <w:i/>
          <w:color w:val="4472C4" w:themeColor="accent5"/>
        </w:rPr>
      </w:pPr>
      <w:r w:rsidRPr="005F57F6">
        <w:rPr>
          <w:i/>
          <w:color w:val="0070C0"/>
        </w:rPr>
        <w:t xml:space="preserve">     </w:t>
      </w:r>
      <w:r w:rsidR="00BC23E1">
        <w:rPr>
          <w:i/>
          <w:color w:val="0070C0"/>
        </w:rPr>
        <w:tab/>
      </w:r>
      <w:r w:rsidRPr="005F57F6">
        <w:rPr>
          <w:i/>
          <w:color w:val="0070C0"/>
        </w:rPr>
        <w:t>(e)</w:t>
      </w:r>
      <w:r w:rsidRPr="005F57F6">
        <w:rPr>
          <w:rFonts w:ascii="Lucida Sans Unicode" w:hAnsi="Lucida Sans Unicode" w:cs="Lucida Sans Unicode"/>
          <w:i/>
          <w:color w:val="0070C0"/>
        </w:rPr>
        <w:t> </w:t>
      </w:r>
      <w:r w:rsidRPr="005F57F6">
        <w:rPr>
          <w:i/>
          <w:color w:val="0070C0"/>
        </w:rPr>
        <w:t xml:space="preserve">The safe handling of equipment, including, without limitation, high-intensity </w:t>
      </w:r>
      <w:r w:rsidR="00BC23E1">
        <w:rPr>
          <w:i/>
          <w:color w:val="0070C0"/>
        </w:rPr>
        <w:tab/>
      </w:r>
      <w:r w:rsidRPr="005F57F6">
        <w:rPr>
          <w:i/>
          <w:color w:val="0070C0"/>
        </w:rPr>
        <w:t xml:space="preserve">discharge lamps, electrical ballasts, pumps, fans, cutting implements and other </w:t>
      </w:r>
      <w:r w:rsidR="00BC23E1">
        <w:rPr>
          <w:i/>
          <w:color w:val="0070C0"/>
        </w:rPr>
        <w:tab/>
      </w:r>
      <w:r w:rsidRPr="00951A21">
        <w:rPr>
          <w:i/>
          <w:color w:val="4472C4" w:themeColor="accent5"/>
        </w:rPr>
        <w:t>equipment for cultivation.</w:t>
      </w:r>
    </w:p>
    <w:p w:rsidR="00DD6BA5" w:rsidRPr="00BA3A45" w:rsidRDefault="00951A21" w:rsidP="00BC23E1">
      <w:pPr>
        <w:spacing w:after="0"/>
        <w:ind w:left="720"/>
        <w:rPr>
          <w:i/>
          <w:color w:val="4472C4" w:themeColor="accent5"/>
        </w:rPr>
      </w:pPr>
      <w:r w:rsidRPr="00951A21">
        <w:rPr>
          <w:i/>
          <w:color w:val="4472C4" w:themeColor="accent5"/>
        </w:rPr>
        <w:tab/>
        <w:t xml:space="preserve">(f) The proper PPE and OSHA requirements for safe use and handling of pesticides. </w:t>
      </w:r>
    </w:p>
    <w:p w:rsidR="00DD6BA5" w:rsidRPr="005F57F6" w:rsidRDefault="00DD6BA5" w:rsidP="00BC23E1">
      <w:pPr>
        <w:spacing w:after="0"/>
        <w:ind w:left="720"/>
        <w:rPr>
          <w:i/>
          <w:color w:val="0070C0"/>
        </w:rPr>
      </w:pPr>
      <w:r w:rsidRPr="005F57F6">
        <w:rPr>
          <w:i/>
          <w:color w:val="0070C0"/>
        </w:rPr>
        <w:t xml:space="preserve"> 7</w:t>
      </w:r>
      <w:r w:rsidR="00BC23E1">
        <w:rPr>
          <w:i/>
          <w:color w:val="0070C0"/>
        </w:rPr>
        <w:t>.</w:t>
      </w:r>
      <w:r w:rsidR="00BC23E1">
        <w:rPr>
          <w:i/>
          <w:color w:val="0070C0"/>
        </w:rPr>
        <w:tab/>
      </w:r>
      <w:r w:rsidRPr="005F57F6">
        <w:rPr>
          <w:i/>
          <w:color w:val="0070C0"/>
        </w:rPr>
        <w:t xml:space="preserve">In addition to the training set forth in subsection 3, a facility for the production of edible </w:t>
      </w:r>
      <w:r w:rsidR="00BC23E1">
        <w:rPr>
          <w:i/>
          <w:color w:val="0070C0"/>
        </w:rPr>
        <w:tab/>
      </w:r>
      <w:r w:rsidRPr="005F57F6">
        <w:rPr>
          <w:i/>
          <w:color w:val="0070C0"/>
        </w:rPr>
        <w:t xml:space="preserve">marijuana products or marijuana-infused products shall ensure that instruction is </w:t>
      </w:r>
      <w:r w:rsidR="00BC23E1">
        <w:rPr>
          <w:i/>
          <w:color w:val="0070C0"/>
        </w:rPr>
        <w:tab/>
        <w:t xml:space="preserve">provided to a </w:t>
      </w:r>
      <w:r w:rsidRPr="005F57F6">
        <w:rPr>
          <w:i/>
          <w:color w:val="0070C0"/>
        </w:rPr>
        <w:t xml:space="preserve">marijuana establishment agent before that person begins to work or </w:t>
      </w:r>
      <w:r w:rsidR="00BC23E1">
        <w:rPr>
          <w:i/>
          <w:color w:val="0070C0"/>
        </w:rPr>
        <w:tab/>
      </w:r>
      <w:r w:rsidRPr="005F57F6">
        <w:rPr>
          <w:i/>
          <w:color w:val="0070C0"/>
        </w:rPr>
        <w:t>volunteer at the facility for the production of edible marijuana products or marijuana-</w:t>
      </w:r>
      <w:r w:rsidR="00BC23E1">
        <w:rPr>
          <w:i/>
          <w:color w:val="0070C0"/>
        </w:rPr>
        <w:tab/>
      </w:r>
      <w:r w:rsidRPr="005F57F6">
        <w:rPr>
          <w:i/>
          <w:color w:val="0070C0"/>
        </w:rPr>
        <w:t>infused products. Such instruction must include, without limitation:</w:t>
      </w:r>
    </w:p>
    <w:p w:rsidR="00DD6BA5" w:rsidRPr="005F57F6" w:rsidRDefault="00DD6BA5" w:rsidP="00BC23E1">
      <w:pPr>
        <w:spacing w:after="0"/>
        <w:ind w:left="720"/>
        <w:rPr>
          <w:i/>
          <w:color w:val="0070C0"/>
        </w:rPr>
      </w:pPr>
      <w:r w:rsidRPr="005F57F6">
        <w:rPr>
          <w:i/>
          <w:color w:val="0070C0"/>
        </w:rPr>
        <w:t xml:space="preserve">     </w:t>
      </w:r>
      <w:r w:rsidR="00BC23E1">
        <w:rPr>
          <w:i/>
          <w:color w:val="0070C0"/>
        </w:rPr>
        <w:tab/>
      </w:r>
      <w:r w:rsidRPr="005F57F6">
        <w:rPr>
          <w:i/>
          <w:color w:val="0070C0"/>
        </w:rPr>
        <w:t>(a)</w:t>
      </w:r>
      <w:r w:rsidRPr="005F57F6">
        <w:rPr>
          <w:rFonts w:ascii="Lucida Sans Unicode" w:hAnsi="Lucida Sans Unicode" w:cs="Lucida Sans Unicode"/>
          <w:i/>
          <w:color w:val="0070C0"/>
        </w:rPr>
        <w:t> </w:t>
      </w:r>
      <w:r w:rsidRPr="005F57F6">
        <w:rPr>
          <w:i/>
          <w:color w:val="0070C0"/>
        </w:rPr>
        <w:t xml:space="preserve">Understanding the difference between topical products, edible marijuana products </w:t>
      </w:r>
      <w:r w:rsidR="00BC23E1">
        <w:rPr>
          <w:i/>
          <w:color w:val="0070C0"/>
        </w:rPr>
        <w:tab/>
      </w:r>
      <w:r w:rsidRPr="005F57F6">
        <w:rPr>
          <w:i/>
          <w:color w:val="0070C0"/>
        </w:rPr>
        <w:t xml:space="preserve">and marijuana-infused products, as applicable to the operations of the facility for the </w:t>
      </w:r>
      <w:r w:rsidR="00BC23E1">
        <w:rPr>
          <w:i/>
          <w:color w:val="0070C0"/>
        </w:rPr>
        <w:tab/>
      </w:r>
      <w:r w:rsidRPr="005F57F6">
        <w:rPr>
          <w:i/>
          <w:color w:val="0070C0"/>
        </w:rPr>
        <w:t>production of edible marijuana product</w:t>
      </w:r>
      <w:r w:rsidR="001724CA">
        <w:rPr>
          <w:i/>
          <w:color w:val="0070C0"/>
        </w:rPr>
        <w:t>s or marijuana-infused products;</w:t>
      </w:r>
    </w:p>
    <w:p w:rsidR="00DD6BA5" w:rsidRPr="005F57F6" w:rsidRDefault="00DD6BA5" w:rsidP="00BC23E1">
      <w:pPr>
        <w:spacing w:after="0"/>
        <w:ind w:left="720"/>
        <w:rPr>
          <w:i/>
          <w:color w:val="0070C0"/>
        </w:rPr>
      </w:pPr>
      <w:r w:rsidRPr="005F57F6">
        <w:rPr>
          <w:i/>
          <w:color w:val="0070C0"/>
        </w:rPr>
        <w:t>    </w:t>
      </w:r>
      <w:r w:rsidR="00BC23E1">
        <w:rPr>
          <w:i/>
          <w:color w:val="0070C0"/>
        </w:rPr>
        <w:tab/>
      </w:r>
      <w:r w:rsidRPr="005F57F6">
        <w:rPr>
          <w:i/>
          <w:color w:val="0070C0"/>
        </w:rPr>
        <w:t xml:space="preserve"> (b)</w:t>
      </w:r>
      <w:r w:rsidRPr="005F57F6">
        <w:rPr>
          <w:rFonts w:ascii="Lucida Sans Unicode" w:hAnsi="Lucida Sans Unicode" w:cs="Lucida Sans Unicode"/>
          <w:i/>
          <w:color w:val="0070C0"/>
        </w:rPr>
        <w:t> </w:t>
      </w:r>
      <w:r w:rsidRPr="005F57F6">
        <w:rPr>
          <w:i/>
          <w:color w:val="0070C0"/>
        </w:rPr>
        <w:t xml:space="preserve">The procedures used by the facility for the production of edible marijuana products </w:t>
      </w:r>
      <w:r w:rsidR="00BC23E1">
        <w:rPr>
          <w:i/>
          <w:color w:val="0070C0"/>
        </w:rPr>
        <w:tab/>
      </w:r>
      <w:r w:rsidRPr="005F57F6">
        <w:rPr>
          <w:i/>
          <w:color w:val="0070C0"/>
        </w:rPr>
        <w:t xml:space="preserve">or marijuana-infused products to create edible marijuana products or marijuana-infused </w:t>
      </w:r>
      <w:r w:rsidR="00BC23E1">
        <w:rPr>
          <w:i/>
          <w:color w:val="0070C0"/>
        </w:rPr>
        <w:tab/>
      </w:r>
      <w:r w:rsidRPr="005F57F6">
        <w:rPr>
          <w:i/>
          <w:color w:val="0070C0"/>
        </w:rPr>
        <w:t>products; and</w:t>
      </w:r>
    </w:p>
    <w:p w:rsidR="00EC2D09" w:rsidRDefault="00DD6BA5" w:rsidP="00EC2D09">
      <w:pPr>
        <w:spacing w:after="0"/>
        <w:ind w:left="720"/>
        <w:rPr>
          <w:i/>
          <w:color w:val="4472C4" w:themeColor="accent5"/>
        </w:rPr>
      </w:pPr>
      <w:r w:rsidRPr="005F57F6">
        <w:rPr>
          <w:i/>
          <w:color w:val="0070C0"/>
        </w:rPr>
        <w:lastRenderedPageBreak/>
        <w:t>    </w:t>
      </w:r>
      <w:r w:rsidR="00BC23E1">
        <w:rPr>
          <w:i/>
          <w:color w:val="0070C0"/>
        </w:rPr>
        <w:tab/>
      </w:r>
      <w:r w:rsidRPr="003D4FE9">
        <w:rPr>
          <w:i/>
          <w:color w:val="4472C4" w:themeColor="accent5"/>
        </w:rPr>
        <w:t>(c)</w:t>
      </w:r>
      <w:r w:rsidRPr="003D4FE9">
        <w:rPr>
          <w:rFonts w:ascii="Lucida Sans Unicode" w:hAnsi="Lucida Sans Unicode" w:cs="Lucida Sans Unicode"/>
          <w:i/>
          <w:color w:val="4472C4" w:themeColor="accent5"/>
        </w:rPr>
        <w:t> </w:t>
      </w:r>
      <w:r w:rsidRPr="003D4FE9">
        <w:rPr>
          <w:i/>
          <w:color w:val="4472C4" w:themeColor="accent5"/>
        </w:rPr>
        <w:t xml:space="preserve">The proper procedures for handling edible marijuana products or marijuana-infused </w:t>
      </w:r>
      <w:r w:rsidR="00BC23E1" w:rsidRPr="003D4FE9">
        <w:rPr>
          <w:i/>
          <w:color w:val="4472C4" w:themeColor="accent5"/>
        </w:rPr>
        <w:tab/>
      </w:r>
      <w:r w:rsidRPr="003D4FE9">
        <w:rPr>
          <w:i/>
          <w:color w:val="4472C4" w:themeColor="accent5"/>
        </w:rPr>
        <w:t xml:space="preserve">products, including, without limitation, the procedures used to prepare, produce, </w:t>
      </w:r>
      <w:r w:rsidR="00BC23E1" w:rsidRPr="003D4FE9">
        <w:rPr>
          <w:i/>
          <w:color w:val="4472C4" w:themeColor="accent5"/>
        </w:rPr>
        <w:tab/>
      </w:r>
      <w:r w:rsidRPr="003D4FE9">
        <w:rPr>
          <w:i/>
          <w:color w:val="4472C4" w:themeColor="accent5"/>
        </w:rPr>
        <w:t xml:space="preserve">package and store such products as required by the provisions of this chapter </w:t>
      </w:r>
      <w:r w:rsidR="00BC23E1" w:rsidRPr="003D4FE9">
        <w:rPr>
          <w:i/>
          <w:color w:val="4472C4" w:themeColor="accent5"/>
        </w:rPr>
        <w:tab/>
      </w:r>
      <w:r w:rsidR="001724CA" w:rsidRPr="003D4FE9">
        <w:rPr>
          <w:i/>
          <w:color w:val="4472C4" w:themeColor="accent5"/>
        </w:rPr>
        <w:t>and chapter 453</w:t>
      </w:r>
      <w:r w:rsidR="00F77759" w:rsidRPr="003D4FE9">
        <w:rPr>
          <w:i/>
          <w:color w:val="4472C4" w:themeColor="accent5"/>
        </w:rPr>
        <w:t>D</w:t>
      </w:r>
      <w:r w:rsidRPr="003D4FE9">
        <w:rPr>
          <w:i/>
          <w:color w:val="4472C4" w:themeColor="accent5"/>
        </w:rPr>
        <w:t> of NRS.</w:t>
      </w:r>
    </w:p>
    <w:p w:rsidR="005F57F6" w:rsidRPr="003D4FE9" w:rsidRDefault="005F57F6" w:rsidP="00EC2D09">
      <w:pPr>
        <w:spacing w:after="0"/>
        <w:ind w:left="720"/>
        <w:rPr>
          <w:i/>
          <w:color w:val="4472C4" w:themeColor="accent5"/>
        </w:rPr>
      </w:pPr>
      <w:r w:rsidRPr="003D4FE9">
        <w:rPr>
          <w:i/>
          <w:color w:val="4472C4" w:themeColor="accent5"/>
        </w:rPr>
        <w:t>8</w:t>
      </w:r>
      <w:r w:rsidR="001724CA" w:rsidRPr="003D4FE9">
        <w:rPr>
          <w:i/>
          <w:color w:val="4472C4" w:themeColor="accent5"/>
        </w:rPr>
        <w:t>.</w:t>
      </w:r>
      <w:r w:rsidR="001724CA" w:rsidRPr="003D4FE9">
        <w:rPr>
          <w:i/>
          <w:color w:val="4472C4" w:themeColor="accent5"/>
        </w:rPr>
        <w:tab/>
      </w:r>
      <w:r w:rsidRPr="003D4FE9">
        <w:rPr>
          <w:i/>
          <w:color w:val="4472C4" w:themeColor="accent5"/>
        </w:rPr>
        <w:t xml:space="preserve">In addition to the training set forth in subsection 3, a facility for the distribution of edible </w:t>
      </w:r>
      <w:r w:rsidR="001724CA" w:rsidRPr="003D4FE9">
        <w:rPr>
          <w:i/>
          <w:color w:val="4472C4" w:themeColor="accent5"/>
        </w:rPr>
        <w:tab/>
      </w:r>
      <w:r w:rsidRPr="003D4FE9">
        <w:rPr>
          <w:i/>
          <w:color w:val="4472C4" w:themeColor="accent5"/>
        </w:rPr>
        <w:t xml:space="preserve">marijuana products or marijuana-infused products shall ensure that instruction is </w:t>
      </w:r>
      <w:r w:rsidR="001724CA" w:rsidRPr="003D4FE9">
        <w:rPr>
          <w:i/>
          <w:color w:val="4472C4" w:themeColor="accent5"/>
        </w:rPr>
        <w:tab/>
      </w:r>
      <w:r w:rsidRPr="003D4FE9">
        <w:rPr>
          <w:i/>
          <w:color w:val="4472C4" w:themeColor="accent5"/>
        </w:rPr>
        <w:t xml:space="preserve">provided to a marijuana establishment agent before that person begins to work or </w:t>
      </w:r>
      <w:r w:rsidR="001724CA" w:rsidRPr="003D4FE9">
        <w:rPr>
          <w:i/>
          <w:color w:val="4472C4" w:themeColor="accent5"/>
        </w:rPr>
        <w:tab/>
      </w:r>
      <w:r w:rsidRPr="003D4FE9">
        <w:rPr>
          <w:i/>
          <w:color w:val="4472C4" w:themeColor="accent5"/>
        </w:rPr>
        <w:t xml:space="preserve">volunteer at the facility for </w:t>
      </w:r>
      <w:r w:rsidR="00B23C73" w:rsidRPr="003D4FE9">
        <w:rPr>
          <w:i/>
          <w:color w:val="4472C4" w:themeColor="accent5"/>
        </w:rPr>
        <w:t>the distribution</w:t>
      </w:r>
      <w:r w:rsidRPr="003D4FE9">
        <w:rPr>
          <w:i/>
          <w:color w:val="4472C4" w:themeColor="accent5"/>
        </w:rPr>
        <w:t xml:space="preserve"> of edible marijuana products or marijuana-</w:t>
      </w:r>
      <w:r w:rsidR="001724CA" w:rsidRPr="003D4FE9">
        <w:rPr>
          <w:i/>
          <w:color w:val="4472C4" w:themeColor="accent5"/>
        </w:rPr>
        <w:tab/>
      </w:r>
      <w:r w:rsidRPr="003D4FE9">
        <w:rPr>
          <w:i/>
          <w:color w:val="4472C4" w:themeColor="accent5"/>
        </w:rPr>
        <w:t>infused products. Such instruction must include, without limitation:</w:t>
      </w:r>
    </w:p>
    <w:p w:rsidR="00DD6BA5" w:rsidRPr="003D4FE9" w:rsidRDefault="00DD6BA5" w:rsidP="00BC23E1">
      <w:pPr>
        <w:spacing w:after="0"/>
        <w:ind w:left="720"/>
        <w:rPr>
          <w:i/>
          <w:color w:val="4472C4" w:themeColor="accent5"/>
        </w:rPr>
      </w:pPr>
      <w:r w:rsidRPr="003D4FE9">
        <w:rPr>
          <w:color w:val="4472C4" w:themeColor="accent5"/>
        </w:rPr>
        <w:t>   </w:t>
      </w:r>
      <w:r w:rsidR="001724CA" w:rsidRPr="003D4FE9">
        <w:rPr>
          <w:color w:val="4472C4" w:themeColor="accent5"/>
        </w:rPr>
        <w:tab/>
      </w:r>
      <w:r w:rsidR="005F57F6" w:rsidRPr="003D4FE9">
        <w:rPr>
          <w:color w:val="4472C4" w:themeColor="accent5"/>
        </w:rPr>
        <w:t xml:space="preserve">(a) </w:t>
      </w:r>
      <w:r w:rsidRPr="003D4FE9">
        <w:rPr>
          <w:color w:val="4472C4" w:themeColor="accent5"/>
        </w:rPr>
        <w:t> </w:t>
      </w:r>
      <w:r w:rsidR="005F57F6" w:rsidRPr="003D4FE9">
        <w:rPr>
          <w:i/>
          <w:color w:val="4472C4" w:themeColor="accent5"/>
        </w:rPr>
        <w:t>The proper procedures for handling</w:t>
      </w:r>
      <w:r w:rsidR="00B23C73" w:rsidRPr="003D4FE9">
        <w:rPr>
          <w:i/>
          <w:color w:val="4472C4" w:themeColor="accent5"/>
        </w:rPr>
        <w:t xml:space="preserve"> or marijuana,</w:t>
      </w:r>
      <w:r w:rsidR="005F57F6" w:rsidRPr="003D4FE9">
        <w:rPr>
          <w:i/>
          <w:color w:val="4472C4" w:themeColor="accent5"/>
        </w:rPr>
        <w:t xml:space="preserve"> edible marijuana products or </w:t>
      </w:r>
      <w:r w:rsidR="001724CA" w:rsidRPr="003D4FE9">
        <w:rPr>
          <w:i/>
          <w:color w:val="4472C4" w:themeColor="accent5"/>
        </w:rPr>
        <w:tab/>
      </w:r>
      <w:r w:rsidR="005F57F6" w:rsidRPr="003D4FE9">
        <w:rPr>
          <w:i/>
          <w:color w:val="4472C4" w:themeColor="accent5"/>
        </w:rPr>
        <w:t>marijuana-infused products;</w:t>
      </w:r>
    </w:p>
    <w:p w:rsidR="005F57F6" w:rsidRPr="003D4FE9" w:rsidRDefault="005F57F6" w:rsidP="00BC23E1">
      <w:pPr>
        <w:spacing w:after="0"/>
        <w:ind w:left="900" w:hanging="180"/>
        <w:rPr>
          <w:i/>
          <w:color w:val="4472C4" w:themeColor="accent5"/>
        </w:rPr>
      </w:pPr>
      <w:r w:rsidRPr="003D4FE9">
        <w:rPr>
          <w:i/>
          <w:color w:val="4472C4" w:themeColor="accent5"/>
        </w:rPr>
        <w:t xml:space="preserve">  </w:t>
      </w:r>
      <w:r w:rsidR="001724CA" w:rsidRPr="003D4FE9">
        <w:rPr>
          <w:i/>
          <w:color w:val="4472C4" w:themeColor="accent5"/>
        </w:rPr>
        <w:tab/>
      </w:r>
      <w:r w:rsidR="001724CA" w:rsidRPr="003D4FE9">
        <w:rPr>
          <w:i/>
          <w:color w:val="4472C4" w:themeColor="accent5"/>
        </w:rPr>
        <w:tab/>
      </w:r>
      <w:r w:rsidRPr="003D4FE9">
        <w:rPr>
          <w:i/>
          <w:color w:val="4472C4" w:themeColor="accent5"/>
        </w:rPr>
        <w:t xml:space="preserve">(b) </w:t>
      </w:r>
      <w:r w:rsidR="00B23C73" w:rsidRPr="003D4FE9">
        <w:rPr>
          <w:i/>
          <w:color w:val="4472C4" w:themeColor="accent5"/>
        </w:rPr>
        <w:t xml:space="preserve"> The procedures for proper transportation and storage of marijuana, edible </w:t>
      </w:r>
      <w:r w:rsidR="001724CA" w:rsidRPr="003D4FE9">
        <w:rPr>
          <w:i/>
          <w:color w:val="4472C4" w:themeColor="accent5"/>
        </w:rPr>
        <w:tab/>
      </w:r>
      <w:r w:rsidR="00B23C73" w:rsidRPr="003D4FE9">
        <w:rPr>
          <w:i/>
          <w:color w:val="4472C4" w:themeColor="accent5"/>
        </w:rPr>
        <w:t>marijuana products or marijuana infused products;</w:t>
      </w:r>
    </w:p>
    <w:p w:rsidR="00B23C73" w:rsidRPr="003D4FE9" w:rsidRDefault="00B23C73" w:rsidP="00BC23E1">
      <w:pPr>
        <w:spacing w:after="0"/>
        <w:ind w:left="900" w:hanging="180"/>
        <w:rPr>
          <w:i/>
          <w:color w:val="4472C4" w:themeColor="accent5"/>
        </w:rPr>
      </w:pPr>
      <w:r w:rsidRPr="003D4FE9">
        <w:rPr>
          <w:i/>
          <w:color w:val="4472C4" w:themeColor="accent5"/>
        </w:rPr>
        <w:t xml:space="preserve">  </w:t>
      </w:r>
      <w:r w:rsidR="001724CA" w:rsidRPr="003D4FE9">
        <w:rPr>
          <w:i/>
          <w:color w:val="4472C4" w:themeColor="accent5"/>
        </w:rPr>
        <w:tab/>
      </w:r>
      <w:r w:rsidR="001724CA" w:rsidRPr="003D4FE9">
        <w:rPr>
          <w:i/>
          <w:color w:val="4472C4" w:themeColor="accent5"/>
        </w:rPr>
        <w:tab/>
      </w:r>
      <w:r w:rsidR="00A9291E">
        <w:rPr>
          <w:i/>
          <w:color w:val="4472C4" w:themeColor="accent5"/>
        </w:rPr>
        <w:t>(c</w:t>
      </w:r>
      <w:r w:rsidRPr="003D4FE9">
        <w:rPr>
          <w:i/>
          <w:color w:val="4472C4" w:themeColor="accent5"/>
        </w:rPr>
        <w:t xml:space="preserve">)  Maintain the proper </w:t>
      </w:r>
      <w:r w:rsidR="003D4FE9" w:rsidRPr="003D4FE9">
        <w:rPr>
          <w:i/>
          <w:color w:val="4472C4" w:themeColor="accent5"/>
        </w:rPr>
        <w:t>Nevada state driver’s license</w:t>
      </w:r>
      <w:r w:rsidRPr="003D4FE9">
        <w:rPr>
          <w:i/>
          <w:color w:val="4472C4" w:themeColor="accent5"/>
        </w:rPr>
        <w:t xml:space="preserve"> for the expected loads</w:t>
      </w:r>
    </w:p>
    <w:p w:rsidR="00B606F5" w:rsidRPr="003D4FE9" w:rsidRDefault="00B606F5" w:rsidP="00BC23E1">
      <w:pPr>
        <w:spacing w:after="0"/>
        <w:rPr>
          <w:color w:val="4472C4" w:themeColor="accent5"/>
        </w:rPr>
      </w:pPr>
    </w:p>
    <w:p w:rsidR="00B23C73" w:rsidRDefault="00B23C73" w:rsidP="008C1FB6">
      <w:pPr>
        <w:tabs>
          <w:tab w:val="left" w:pos="810"/>
        </w:tabs>
        <w:ind w:left="720"/>
        <w:jc w:val="both"/>
        <w:rPr>
          <w:rFonts w:eastAsia="Times New Roman" w:cs="Times New Roman"/>
          <w:i/>
          <w:color w:val="0070C0"/>
          <w:szCs w:val="24"/>
        </w:rPr>
      </w:pPr>
      <w:r w:rsidRPr="003D4FE9">
        <w:rPr>
          <w:rFonts w:eastAsia="Times New Roman" w:cs="Times New Roman"/>
          <w:i/>
          <w:color w:val="4472C4" w:themeColor="accent5"/>
          <w:szCs w:val="24"/>
        </w:rPr>
        <w:t>The recommendation is</w:t>
      </w:r>
      <w:r w:rsidR="008641C6" w:rsidRPr="003D4FE9">
        <w:rPr>
          <w:rFonts w:eastAsia="Times New Roman" w:cs="Times New Roman"/>
          <w:i/>
          <w:color w:val="4472C4" w:themeColor="accent5"/>
          <w:szCs w:val="24"/>
        </w:rPr>
        <w:t xml:space="preserve"> also</w:t>
      </w:r>
      <w:r w:rsidRPr="003D4FE9">
        <w:rPr>
          <w:rFonts w:eastAsia="Times New Roman" w:cs="Times New Roman"/>
          <w:i/>
          <w:color w:val="4472C4" w:themeColor="accent5"/>
          <w:szCs w:val="24"/>
        </w:rPr>
        <w:t xml:space="preserve"> that any agent</w:t>
      </w:r>
      <w:r w:rsidR="001B55D1" w:rsidRPr="003D4FE9">
        <w:rPr>
          <w:rFonts w:eastAsia="Times New Roman" w:cs="Times New Roman"/>
          <w:i/>
          <w:color w:val="4472C4" w:themeColor="accent5"/>
          <w:szCs w:val="24"/>
        </w:rPr>
        <w:t xml:space="preserve"> of a </w:t>
      </w:r>
      <w:r w:rsidRPr="003D4FE9">
        <w:rPr>
          <w:rFonts w:eastAsia="Times New Roman" w:cs="Times New Roman"/>
          <w:i/>
          <w:color w:val="4472C4" w:themeColor="accent5"/>
          <w:szCs w:val="24"/>
        </w:rPr>
        <w:t>recreational</w:t>
      </w:r>
      <w:r w:rsidR="00B27F6B" w:rsidRPr="003D4FE9">
        <w:rPr>
          <w:rFonts w:eastAsia="Times New Roman" w:cs="Times New Roman"/>
          <w:i/>
          <w:color w:val="4472C4" w:themeColor="accent5"/>
          <w:szCs w:val="24"/>
        </w:rPr>
        <w:t xml:space="preserve"> marijuana establishment </w:t>
      </w:r>
      <w:r w:rsidR="001B55D1" w:rsidRPr="003D4FE9">
        <w:rPr>
          <w:rFonts w:eastAsia="Times New Roman" w:cs="Times New Roman"/>
          <w:i/>
          <w:color w:val="4472C4" w:themeColor="accent5"/>
          <w:szCs w:val="24"/>
        </w:rPr>
        <w:t>will be required to take a</w:t>
      </w:r>
      <w:r w:rsidRPr="003D4FE9">
        <w:rPr>
          <w:rFonts w:eastAsia="Times New Roman" w:cs="Times New Roman"/>
          <w:i/>
          <w:color w:val="4472C4" w:themeColor="accent5"/>
          <w:szCs w:val="24"/>
        </w:rPr>
        <w:t>n additional</w:t>
      </w:r>
      <w:r w:rsidR="001B55D1" w:rsidRPr="003D4FE9">
        <w:rPr>
          <w:rFonts w:eastAsia="Times New Roman" w:cs="Times New Roman"/>
          <w:i/>
          <w:color w:val="4472C4" w:themeColor="accent5"/>
          <w:szCs w:val="24"/>
        </w:rPr>
        <w:t xml:space="preserve"> marijuana </w:t>
      </w:r>
      <w:r w:rsidR="00C3511A" w:rsidRPr="003D4FE9">
        <w:rPr>
          <w:rFonts w:eastAsia="Times New Roman" w:cs="Times New Roman"/>
          <w:i/>
          <w:color w:val="4472C4" w:themeColor="accent5"/>
          <w:szCs w:val="24"/>
        </w:rPr>
        <w:t xml:space="preserve">education </w:t>
      </w:r>
      <w:r w:rsidR="005407DF" w:rsidRPr="003D4FE9">
        <w:rPr>
          <w:rFonts w:eastAsia="Times New Roman" w:cs="Times New Roman"/>
          <w:i/>
          <w:color w:val="4472C4" w:themeColor="accent5"/>
          <w:szCs w:val="24"/>
        </w:rPr>
        <w:t>course in order to obtain a marijuana agent card.</w:t>
      </w:r>
      <w:r w:rsidRPr="003D4FE9">
        <w:rPr>
          <w:rFonts w:eastAsia="Times New Roman" w:cs="Times New Roman"/>
          <w:i/>
          <w:color w:val="4472C4" w:themeColor="accent5"/>
          <w:szCs w:val="24"/>
        </w:rPr>
        <w:t xml:space="preserve"> This course should</w:t>
      </w:r>
      <w:r w:rsidR="00C3511A" w:rsidRPr="003D4FE9">
        <w:rPr>
          <w:rFonts w:eastAsia="Times New Roman" w:cs="Times New Roman"/>
          <w:i/>
          <w:color w:val="4472C4" w:themeColor="accent5"/>
          <w:szCs w:val="24"/>
        </w:rPr>
        <w:t xml:space="preserve"> meet</w:t>
      </w:r>
      <w:r w:rsidR="00C3511A" w:rsidRPr="00F53AC3">
        <w:rPr>
          <w:rFonts w:eastAsia="Times New Roman" w:cs="Times New Roman"/>
          <w:i/>
          <w:color w:val="0070C0"/>
          <w:szCs w:val="24"/>
        </w:rPr>
        <w:t xml:space="preserve"> the minimum standard requirements as determined by the D</w:t>
      </w:r>
      <w:r w:rsidR="005F5087" w:rsidRPr="00F53AC3">
        <w:rPr>
          <w:rFonts w:eastAsia="Times New Roman" w:cs="Times New Roman"/>
          <w:i/>
          <w:color w:val="0070C0"/>
          <w:szCs w:val="24"/>
        </w:rPr>
        <w:t>epartment</w:t>
      </w:r>
      <w:r w:rsidR="00C3511A" w:rsidRPr="00F53AC3">
        <w:rPr>
          <w:rFonts w:eastAsia="Times New Roman" w:cs="Times New Roman"/>
          <w:i/>
          <w:color w:val="0070C0"/>
          <w:szCs w:val="24"/>
        </w:rPr>
        <w:t xml:space="preserve">, and be a minimum of 2.5 hours of training. </w:t>
      </w:r>
      <w:r w:rsidR="005F5087" w:rsidRPr="00F53AC3">
        <w:rPr>
          <w:rFonts w:eastAsia="Times New Roman" w:cs="Times New Roman"/>
          <w:i/>
          <w:color w:val="0070C0"/>
          <w:szCs w:val="24"/>
        </w:rPr>
        <w:t xml:space="preserve">Proof of </w:t>
      </w:r>
      <w:r w:rsidR="00C3511A" w:rsidRPr="00F53AC3">
        <w:rPr>
          <w:rFonts w:eastAsia="Times New Roman" w:cs="Times New Roman"/>
          <w:i/>
          <w:color w:val="0070C0"/>
          <w:szCs w:val="24"/>
        </w:rPr>
        <w:t xml:space="preserve">successful completion must be submitted </w:t>
      </w:r>
      <w:r w:rsidR="005F5087" w:rsidRPr="00F53AC3">
        <w:rPr>
          <w:rFonts w:eastAsia="Times New Roman" w:cs="Times New Roman"/>
          <w:i/>
          <w:color w:val="0070C0"/>
          <w:szCs w:val="24"/>
        </w:rPr>
        <w:t xml:space="preserve">to the Department </w:t>
      </w:r>
      <w:r w:rsidR="00E84C44" w:rsidRPr="00F53AC3">
        <w:rPr>
          <w:rFonts w:eastAsia="Times New Roman" w:cs="Times New Roman"/>
          <w:i/>
          <w:color w:val="0070C0"/>
          <w:szCs w:val="24"/>
        </w:rPr>
        <w:t xml:space="preserve">before an agent begins unsupervised employment. </w:t>
      </w:r>
    </w:p>
    <w:p w:rsidR="00243FE1" w:rsidRPr="00243FE1" w:rsidRDefault="00243FE1" w:rsidP="00243FE1">
      <w:pPr>
        <w:tabs>
          <w:tab w:val="left" w:pos="810"/>
        </w:tabs>
        <w:ind w:left="720"/>
        <w:jc w:val="both"/>
        <w:rPr>
          <w:rFonts w:eastAsia="Times New Roman" w:cs="Times New Roman"/>
          <w:i/>
          <w:color w:val="0070C0"/>
          <w:szCs w:val="24"/>
        </w:rPr>
      </w:pPr>
      <w:r>
        <w:rPr>
          <w:rFonts w:eastAsia="Times New Roman" w:cs="Times New Roman"/>
          <w:i/>
          <w:color w:val="0070C0"/>
          <w:szCs w:val="24"/>
        </w:rPr>
        <w:t>A responsible marijuana</w:t>
      </w:r>
      <w:r w:rsidRPr="00243FE1">
        <w:rPr>
          <w:rFonts w:eastAsia="Times New Roman" w:cs="Times New Roman"/>
          <w:i/>
          <w:color w:val="0070C0"/>
          <w:szCs w:val="24"/>
        </w:rPr>
        <w:t xml:space="preserve"> </w:t>
      </w:r>
      <w:r>
        <w:rPr>
          <w:rFonts w:eastAsia="Times New Roman" w:cs="Times New Roman"/>
          <w:i/>
          <w:color w:val="0070C0"/>
          <w:szCs w:val="24"/>
        </w:rPr>
        <w:t xml:space="preserve">agent </w:t>
      </w:r>
      <w:r w:rsidRPr="00243FE1">
        <w:rPr>
          <w:rFonts w:eastAsia="Times New Roman" w:cs="Times New Roman"/>
          <w:i/>
          <w:color w:val="0070C0"/>
          <w:szCs w:val="24"/>
        </w:rPr>
        <w:t xml:space="preserve">training </w:t>
      </w:r>
      <w:r w:rsidR="001724CA">
        <w:rPr>
          <w:rFonts w:eastAsia="Times New Roman" w:cs="Times New Roman"/>
          <w:i/>
          <w:color w:val="0070C0"/>
          <w:szCs w:val="24"/>
        </w:rPr>
        <w:t>will ensure</w:t>
      </w:r>
      <w:r>
        <w:rPr>
          <w:rFonts w:eastAsia="Times New Roman" w:cs="Times New Roman"/>
          <w:i/>
          <w:color w:val="0070C0"/>
          <w:szCs w:val="24"/>
        </w:rPr>
        <w:t xml:space="preserve"> that establishments who are in the business of marijuana understand the marijua</w:t>
      </w:r>
      <w:r w:rsidR="008641C6">
        <w:rPr>
          <w:rFonts w:eastAsia="Times New Roman" w:cs="Times New Roman"/>
          <w:i/>
          <w:color w:val="0070C0"/>
          <w:szCs w:val="24"/>
        </w:rPr>
        <w:t>na laws in their State</w:t>
      </w:r>
      <w:r>
        <w:rPr>
          <w:rFonts w:eastAsia="Times New Roman" w:cs="Times New Roman"/>
          <w:i/>
          <w:color w:val="0070C0"/>
          <w:szCs w:val="24"/>
        </w:rPr>
        <w:t xml:space="preserve"> and</w:t>
      </w:r>
      <w:r w:rsidR="00E874FB">
        <w:rPr>
          <w:rFonts w:eastAsia="Times New Roman" w:cs="Times New Roman"/>
          <w:i/>
          <w:color w:val="0070C0"/>
          <w:szCs w:val="24"/>
        </w:rPr>
        <w:t xml:space="preserve"> that </w:t>
      </w:r>
      <w:r w:rsidR="0062624C">
        <w:rPr>
          <w:rFonts w:eastAsia="Times New Roman" w:cs="Times New Roman"/>
          <w:i/>
          <w:color w:val="0070C0"/>
          <w:szCs w:val="24"/>
        </w:rPr>
        <w:t xml:space="preserve">they will </w:t>
      </w:r>
      <w:r>
        <w:rPr>
          <w:rFonts w:eastAsia="Times New Roman" w:cs="Times New Roman"/>
          <w:i/>
          <w:color w:val="0070C0"/>
          <w:szCs w:val="24"/>
        </w:rPr>
        <w:t>distribute and sel</w:t>
      </w:r>
      <w:r w:rsidR="008641C6">
        <w:rPr>
          <w:rFonts w:eastAsia="Times New Roman" w:cs="Times New Roman"/>
          <w:i/>
          <w:color w:val="0070C0"/>
          <w:szCs w:val="24"/>
        </w:rPr>
        <w:t>l</w:t>
      </w:r>
      <w:r>
        <w:rPr>
          <w:rFonts w:eastAsia="Times New Roman" w:cs="Times New Roman"/>
          <w:i/>
          <w:color w:val="0070C0"/>
          <w:szCs w:val="24"/>
        </w:rPr>
        <w:t xml:space="preserve"> marijuana and marijuana products</w:t>
      </w:r>
      <w:r w:rsidR="008641C6">
        <w:rPr>
          <w:rFonts w:eastAsia="Times New Roman" w:cs="Times New Roman"/>
          <w:i/>
          <w:color w:val="0070C0"/>
          <w:szCs w:val="24"/>
        </w:rPr>
        <w:t xml:space="preserve"> responsibly.</w:t>
      </w:r>
    </w:p>
    <w:p w:rsidR="00243FE1" w:rsidRDefault="008641C6" w:rsidP="008C1FB6">
      <w:pPr>
        <w:tabs>
          <w:tab w:val="left" w:pos="810"/>
        </w:tabs>
        <w:ind w:left="720"/>
        <w:jc w:val="both"/>
        <w:rPr>
          <w:rFonts w:eastAsia="Times New Roman" w:cs="Times New Roman"/>
          <w:i/>
          <w:color w:val="0070C0"/>
          <w:szCs w:val="24"/>
        </w:rPr>
      </w:pPr>
      <w:r>
        <w:rPr>
          <w:rFonts w:eastAsia="Times New Roman" w:cs="Times New Roman"/>
          <w:i/>
          <w:color w:val="0070C0"/>
          <w:szCs w:val="24"/>
        </w:rPr>
        <w:t xml:space="preserve">A </w:t>
      </w:r>
      <w:r w:rsidR="0057648A">
        <w:rPr>
          <w:rFonts w:eastAsia="Times New Roman" w:cs="Times New Roman"/>
          <w:i/>
          <w:color w:val="0070C0"/>
          <w:szCs w:val="24"/>
        </w:rPr>
        <w:t xml:space="preserve">consistent and </w:t>
      </w:r>
      <w:r>
        <w:rPr>
          <w:rFonts w:eastAsia="Times New Roman" w:cs="Times New Roman"/>
          <w:i/>
          <w:color w:val="0070C0"/>
          <w:szCs w:val="24"/>
        </w:rPr>
        <w:t>responsible marijuana agent</w:t>
      </w:r>
      <w:r w:rsidR="0057648A">
        <w:rPr>
          <w:rFonts w:eastAsia="Times New Roman" w:cs="Times New Roman"/>
          <w:i/>
          <w:color w:val="0070C0"/>
          <w:szCs w:val="24"/>
        </w:rPr>
        <w:t xml:space="preserve"> training program will</w:t>
      </w:r>
      <w:r w:rsidR="00243FE1" w:rsidRPr="00243FE1">
        <w:rPr>
          <w:rFonts w:eastAsia="Times New Roman" w:cs="Times New Roman"/>
          <w:i/>
          <w:color w:val="0070C0"/>
          <w:szCs w:val="24"/>
        </w:rPr>
        <w:t xml:space="preserve"> significantly reduce the risk and l</w:t>
      </w:r>
      <w:r>
        <w:rPr>
          <w:rFonts w:eastAsia="Times New Roman" w:cs="Times New Roman"/>
          <w:i/>
          <w:color w:val="0070C0"/>
          <w:szCs w:val="24"/>
        </w:rPr>
        <w:t xml:space="preserve">iability associated </w:t>
      </w:r>
      <w:r w:rsidR="00E874FB">
        <w:rPr>
          <w:rFonts w:eastAsia="Times New Roman" w:cs="Times New Roman"/>
          <w:i/>
          <w:color w:val="0070C0"/>
          <w:szCs w:val="24"/>
        </w:rPr>
        <w:t>with marijuana sales for the State.</w:t>
      </w:r>
      <w:r>
        <w:rPr>
          <w:rFonts w:eastAsia="Times New Roman" w:cs="Times New Roman"/>
          <w:i/>
          <w:color w:val="0070C0"/>
          <w:szCs w:val="24"/>
        </w:rPr>
        <w:t xml:space="preserve">  </w:t>
      </w:r>
    </w:p>
    <w:p w:rsidR="00E84C44" w:rsidRPr="00F53AC3" w:rsidRDefault="00E84C44" w:rsidP="008C1FB6">
      <w:pPr>
        <w:tabs>
          <w:tab w:val="left" w:pos="810"/>
        </w:tabs>
        <w:ind w:left="720"/>
        <w:jc w:val="both"/>
        <w:rPr>
          <w:i/>
          <w:color w:val="0070C0"/>
          <w:szCs w:val="24"/>
        </w:rPr>
      </w:pPr>
      <w:r w:rsidRPr="00F53AC3">
        <w:rPr>
          <w:i/>
          <w:color w:val="0070C0"/>
          <w:szCs w:val="24"/>
        </w:rPr>
        <w:t>Recommended requirements and policies are based on best practices used in other states and Nevada’s responsible alcohol vendor training requirements.</w:t>
      </w:r>
      <w:r w:rsidR="0062624C">
        <w:rPr>
          <w:i/>
          <w:color w:val="0070C0"/>
          <w:szCs w:val="24"/>
        </w:rPr>
        <w:t xml:space="preserve"> The administration of this additional training will be offered through an outside vendor that has been approved by the Department. This system will model the current training required by those that sell or give away alcohol.</w:t>
      </w:r>
    </w:p>
    <w:p w:rsidR="001724CA" w:rsidRDefault="00B23C73" w:rsidP="008C1FB6">
      <w:pPr>
        <w:spacing w:after="0"/>
        <w:ind w:left="450" w:firstLine="270"/>
        <w:jc w:val="both"/>
        <w:rPr>
          <w:i/>
          <w:color w:val="0070C0"/>
          <w:szCs w:val="24"/>
        </w:rPr>
      </w:pPr>
      <w:r>
        <w:rPr>
          <w:i/>
          <w:color w:val="0070C0"/>
          <w:szCs w:val="24"/>
        </w:rPr>
        <w:t xml:space="preserve">The additional </w:t>
      </w:r>
      <w:r w:rsidR="00490743">
        <w:rPr>
          <w:i/>
          <w:color w:val="0070C0"/>
          <w:szCs w:val="24"/>
        </w:rPr>
        <w:t>training c</w:t>
      </w:r>
      <w:r>
        <w:rPr>
          <w:i/>
          <w:color w:val="0070C0"/>
          <w:szCs w:val="24"/>
        </w:rPr>
        <w:t>ould include the following:</w:t>
      </w:r>
    </w:p>
    <w:p w:rsidR="001724CA" w:rsidRDefault="001724CA" w:rsidP="001724CA">
      <w:pPr>
        <w:pStyle w:val="ListParagraph"/>
        <w:numPr>
          <w:ilvl w:val="0"/>
          <w:numId w:val="9"/>
        </w:numPr>
        <w:spacing w:after="0"/>
        <w:jc w:val="both"/>
        <w:rPr>
          <w:i/>
          <w:color w:val="0070C0"/>
          <w:szCs w:val="24"/>
        </w:rPr>
      </w:pPr>
      <w:r>
        <w:rPr>
          <w:i/>
          <w:color w:val="0070C0"/>
          <w:szCs w:val="24"/>
        </w:rPr>
        <w:t>Clinical ef</w:t>
      </w:r>
      <w:bookmarkStart w:id="0" w:name="_GoBack"/>
      <w:bookmarkEnd w:id="0"/>
      <w:r>
        <w:rPr>
          <w:i/>
          <w:color w:val="0070C0"/>
          <w:szCs w:val="24"/>
        </w:rPr>
        <w:t>fects of marijuana on the human body</w:t>
      </w:r>
    </w:p>
    <w:p w:rsidR="001724CA" w:rsidRDefault="001724CA" w:rsidP="001724CA">
      <w:pPr>
        <w:pStyle w:val="ListParagraph"/>
        <w:numPr>
          <w:ilvl w:val="0"/>
          <w:numId w:val="9"/>
        </w:numPr>
        <w:spacing w:after="0"/>
        <w:jc w:val="both"/>
        <w:rPr>
          <w:i/>
          <w:color w:val="0070C0"/>
          <w:szCs w:val="24"/>
        </w:rPr>
      </w:pPr>
      <w:r>
        <w:rPr>
          <w:i/>
          <w:color w:val="0070C0"/>
          <w:szCs w:val="24"/>
        </w:rPr>
        <w:t>How marijuana affects the consumer</w:t>
      </w:r>
    </w:p>
    <w:p w:rsidR="001724CA" w:rsidRDefault="001724CA" w:rsidP="001724CA">
      <w:pPr>
        <w:pStyle w:val="ListParagraph"/>
        <w:numPr>
          <w:ilvl w:val="0"/>
          <w:numId w:val="9"/>
        </w:numPr>
        <w:spacing w:after="0"/>
        <w:jc w:val="both"/>
        <w:rPr>
          <w:i/>
          <w:color w:val="0070C0"/>
          <w:szCs w:val="24"/>
        </w:rPr>
      </w:pPr>
      <w:r>
        <w:rPr>
          <w:i/>
          <w:color w:val="0070C0"/>
          <w:szCs w:val="24"/>
        </w:rPr>
        <w:t>Required warning and literature</w:t>
      </w:r>
    </w:p>
    <w:p w:rsidR="001724CA" w:rsidRDefault="001724CA" w:rsidP="001724CA">
      <w:pPr>
        <w:pStyle w:val="ListParagraph"/>
        <w:numPr>
          <w:ilvl w:val="0"/>
          <w:numId w:val="9"/>
        </w:numPr>
        <w:spacing w:after="0"/>
        <w:jc w:val="both"/>
        <w:rPr>
          <w:i/>
          <w:color w:val="0070C0"/>
          <w:szCs w:val="24"/>
        </w:rPr>
      </w:pPr>
      <w:r>
        <w:rPr>
          <w:i/>
          <w:color w:val="0070C0"/>
          <w:szCs w:val="24"/>
        </w:rPr>
        <w:t>Methods of identifying impairment</w:t>
      </w:r>
    </w:p>
    <w:p w:rsidR="001724CA" w:rsidRDefault="001724CA" w:rsidP="001724CA">
      <w:pPr>
        <w:pStyle w:val="ListParagraph"/>
        <w:numPr>
          <w:ilvl w:val="0"/>
          <w:numId w:val="9"/>
        </w:numPr>
        <w:spacing w:after="0"/>
        <w:jc w:val="both"/>
        <w:rPr>
          <w:i/>
          <w:color w:val="0070C0"/>
          <w:szCs w:val="24"/>
        </w:rPr>
      </w:pPr>
      <w:r>
        <w:rPr>
          <w:i/>
          <w:color w:val="0070C0"/>
          <w:szCs w:val="24"/>
        </w:rPr>
        <w:t>Methods of refusing entry or sales to intoxicated persons</w:t>
      </w:r>
    </w:p>
    <w:p w:rsidR="001724CA" w:rsidRDefault="001724CA" w:rsidP="001724CA">
      <w:pPr>
        <w:pStyle w:val="ListParagraph"/>
        <w:numPr>
          <w:ilvl w:val="1"/>
          <w:numId w:val="9"/>
        </w:numPr>
        <w:spacing w:after="0"/>
        <w:jc w:val="both"/>
        <w:rPr>
          <w:i/>
          <w:color w:val="0070C0"/>
          <w:szCs w:val="24"/>
        </w:rPr>
      </w:pPr>
      <w:r>
        <w:rPr>
          <w:i/>
          <w:color w:val="0070C0"/>
          <w:szCs w:val="24"/>
        </w:rPr>
        <w:t>Verifying ID and using age verification device</w:t>
      </w:r>
    </w:p>
    <w:p w:rsidR="001724CA" w:rsidRDefault="001724CA" w:rsidP="001724CA">
      <w:pPr>
        <w:pStyle w:val="ListParagraph"/>
        <w:numPr>
          <w:ilvl w:val="1"/>
          <w:numId w:val="9"/>
        </w:numPr>
        <w:spacing w:after="0"/>
        <w:jc w:val="both"/>
        <w:rPr>
          <w:i/>
          <w:color w:val="0070C0"/>
          <w:szCs w:val="24"/>
        </w:rPr>
      </w:pPr>
      <w:r>
        <w:rPr>
          <w:i/>
          <w:color w:val="0070C0"/>
          <w:szCs w:val="24"/>
        </w:rPr>
        <w:t>Education of the use of recreational marijuana and those under 21</w:t>
      </w:r>
    </w:p>
    <w:p w:rsidR="001724CA" w:rsidRDefault="001724CA" w:rsidP="001724CA">
      <w:pPr>
        <w:pStyle w:val="ListParagraph"/>
        <w:numPr>
          <w:ilvl w:val="1"/>
          <w:numId w:val="9"/>
        </w:numPr>
        <w:spacing w:after="0"/>
        <w:jc w:val="both"/>
        <w:rPr>
          <w:i/>
          <w:color w:val="0070C0"/>
          <w:szCs w:val="24"/>
        </w:rPr>
      </w:pPr>
      <w:r>
        <w:rPr>
          <w:i/>
          <w:color w:val="0070C0"/>
          <w:szCs w:val="24"/>
        </w:rPr>
        <w:t>Understanding law enforcement’s role and compliance checks</w:t>
      </w:r>
    </w:p>
    <w:p w:rsidR="001B55D1" w:rsidRPr="001724CA" w:rsidRDefault="001724CA" w:rsidP="001724CA">
      <w:pPr>
        <w:pStyle w:val="ListParagraph"/>
        <w:numPr>
          <w:ilvl w:val="1"/>
          <w:numId w:val="9"/>
        </w:numPr>
        <w:spacing w:after="0"/>
        <w:jc w:val="both"/>
        <w:rPr>
          <w:i/>
          <w:color w:val="0070C0"/>
          <w:szCs w:val="24"/>
        </w:rPr>
      </w:pPr>
      <w:r>
        <w:rPr>
          <w:i/>
          <w:color w:val="0070C0"/>
          <w:szCs w:val="24"/>
        </w:rPr>
        <w:t>Recognition of false or altered identification</w:t>
      </w:r>
    </w:p>
    <w:p w:rsidR="001724CA" w:rsidRDefault="001724CA" w:rsidP="001724CA">
      <w:pPr>
        <w:pStyle w:val="ListParagraph"/>
        <w:numPr>
          <w:ilvl w:val="0"/>
          <w:numId w:val="9"/>
        </w:numPr>
        <w:spacing w:after="0"/>
        <w:jc w:val="both"/>
        <w:rPr>
          <w:i/>
          <w:color w:val="0070C0"/>
          <w:szCs w:val="24"/>
        </w:rPr>
      </w:pPr>
      <w:r>
        <w:rPr>
          <w:i/>
          <w:color w:val="0070C0"/>
          <w:szCs w:val="24"/>
        </w:rPr>
        <w:t>Applicable state and local laws regarding marijuana</w:t>
      </w:r>
    </w:p>
    <w:p w:rsidR="001724CA" w:rsidRDefault="001724CA" w:rsidP="001724CA">
      <w:pPr>
        <w:pStyle w:val="ListParagraph"/>
        <w:numPr>
          <w:ilvl w:val="0"/>
          <w:numId w:val="9"/>
        </w:numPr>
        <w:spacing w:after="0"/>
        <w:jc w:val="both"/>
        <w:rPr>
          <w:i/>
          <w:color w:val="0070C0"/>
          <w:szCs w:val="24"/>
        </w:rPr>
      </w:pPr>
      <w:r>
        <w:rPr>
          <w:i/>
          <w:color w:val="0070C0"/>
          <w:szCs w:val="24"/>
        </w:rPr>
        <w:t>Preventing unlawful consumption, open and public consumption laws</w:t>
      </w:r>
    </w:p>
    <w:p w:rsidR="001724CA" w:rsidRDefault="001724CA" w:rsidP="001724CA">
      <w:pPr>
        <w:pStyle w:val="ListParagraph"/>
        <w:numPr>
          <w:ilvl w:val="0"/>
          <w:numId w:val="9"/>
        </w:numPr>
        <w:spacing w:after="0"/>
        <w:jc w:val="both"/>
        <w:rPr>
          <w:i/>
          <w:color w:val="0070C0"/>
          <w:szCs w:val="24"/>
        </w:rPr>
      </w:pPr>
      <w:r>
        <w:rPr>
          <w:i/>
          <w:color w:val="0070C0"/>
          <w:szCs w:val="24"/>
        </w:rPr>
        <w:t>Preventing use of marijuana by minors, laws and penalties</w:t>
      </w:r>
    </w:p>
    <w:p w:rsidR="001724CA" w:rsidRDefault="001724CA" w:rsidP="001724CA">
      <w:pPr>
        <w:pStyle w:val="ListParagraph"/>
        <w:numPr>
          <w:ilvl w:val="0"/>
          <w:numId w:val="9"/>
        </w:numPr>
        <w:spacing w:after="0"/>
        <w:jc w:val="both"/>
        <w:rPr>
          <w:i/>
          <w:color w:val="0070C0"/>
          <w:szCs w:val="24"/>
        </w:rPr>
      </w:pPr>
      <w:r>
        <w:rPr>
          <w:i/>
          <w:color w:val="0070C0"/>
          <w:szCs w:val="24"/>
        </w:rPr>
        <w:lastRenderedPageBreak/>
        <w:t>How to prevent and deal with disturbances</w:t>
      </w:r>
    </w:p>
    <w:p w:rsidR="00B23C73" w:rsidRPr="001724CA" w:rsidRDefault="001724CA" w:rsidP="001724CA">
      <w:pPr>
        <w:pStyle w:val="ListParagraph"/>
        <w:numPr>
          <w:ilvl w:val="0"/>
          <w:numId w:val="9"/>
        </w:numPr>
        <w:spacing w:after="0"/>
        <w:jc w:val="both"/>
        <w:rPr>
          <w:i/>
          <w:color w:val="0070C0"/>
          <w:szCs w:val="24"/>
        </w:rPr>
      </w:pPr>
      <w:r>
        <w:rPr>
          <w:i/>
          <w:color w:val="0070C0"/>
          <w:szCs w:val="24"/>
        </w:rPr>
        <w:t>Agent responsibility and strategies for preventing diversion</w:t>
      </w:r>
    </w:p>
    <w:p w:rsidR="00E874FB" w:rsidRPr="00E874FB" w:rsidRDefault="00E874FB" w:rsidP="00E874FB">
      <w:pPr>
        <w:pStyle w:val="ListParagraph"/>
        <w:rPr>
          <w:i/>
          <w:color w:val="0070C0"/>
        </w:rPr>
      </w:pPr>
    </w:p>
    <w:p w:rsidR="00E874FB" w:rsidRPr="00E874FB" w:rsidRDefault="00E874FB" w:rsidP="00E874FB">
      <w:pPr>
        <w:pStyle w:val="ListParagraph"/>
        <w:spacing w:after="0" w:line="240" w:lineRule="auto"/>
        <w:jc w:val="both"/>
        <w:rPr>
          <w:i/>
          <w:color w:val="0070C0"/>
        </w:rPr>
      </w:pPr>
      <w:r w:rsidRPr="00E874FB">
        <w:rPr>
          <w:i/>
          <w:color w:val="0070C0"/>
        </w:rPr>
        <w:t>At the concl</w:t>
      </w:r>
      <w:r>
        <w:rPr>
          <w:i/>
          <w:color w:val="0070C0"/>
        </w:rPr>
        <w:t>usion of the course, the agent</w:t>
      </w:r>
      <w:r w:rsidRPr="00E874FB">
        <w:rPr>
          <w:i/>
          <w:color w:val="0070C0"/>
        </w:rPr>
        <w:t xml:space="preserve"> will be tested on their knowledge of the learning objectives and content. Upon successfully passing the exam wit</w:t>
      </w:r>
      <w:r>
        <w:rPr>
          <w:i/>
          <w:color w:val="0070C0"/>
        </w:rPr>
        <w:t xml:space="preserve">h a minimum of 70%, the agent </w:t>
      </w:r>
      <w:r w:rsidRPr="00E874FB">
        <w:rPr>
          <w:i/>
          <w:color w:val="0070C0"/>
        </w:rPr>
        <w:t>will be issued a course c</w:t>
      </w:r>
      <w:r>
        <w:rPr>
          <w:i/>
          <w:color w:val="0070C0"/>
        </w:rPr>
        <w:t xml:space="preserve">ertificate document (or permit), after which they would be allowed to receive their agent card.  </w:t>
      </w:r>
    </w:p>
    <w:p w:rsidR="005F5087" w:rsidRPr="003110FB" w:rsidRDefault="005F5087" w:rsidP="003D0C3C">
      <w:pPr>
        <w:spacing w:after="0"/>
      </w:pPr>
      <w:bookmarkStart w:id="1" w:name="m_5622456060937635844_NRS453ASec104"/>
      <w:bookmarkEnd w:id="1"/>
    </w:p>
    <w:p w:rsidR="00E9081E" w:rsidRDefault="00DC4C91" w:rsidP="00E9081E">
      <w:pPr>
        <w:pStyle w:val="ListParagraph"/>
        <w:numPr>
          <w:ilvl w:val="0"/>
          <w:numId w:val="1"/>
        </w:numPr>
        <w:spacing w:after="0"/>
      </w:pPr>
      <w:r>
        <w:t>Which guiding p</w:t>
      </w:r>
      <w:r w:rsidR="00E9081E" w:rsidRPr="003110FB">
        <w:t>rinciple(s) does this recommendation support?</w:t>
      </w:r>
    </w:p>
    <w:p w:rsidR="00B606F5" w:rsidRDefault="00B606F5" w:rsidP="00B606F5">
      <w:pPr>
        <w:spacing w:after="0"/>
      </w:pPr>
    </w:p>
    <w:p w:rsidR="003B0CF5" w:rsidRDefault="003B0CF5" w:rsidP="00B606F5">
      <w:pPr>
        <w:pStyle w:val="ListParagraph"/>
        <w:spacing w:after="0"/>
        <w:jc w:val="both"/>
        <w:rPr>
          <w:i/>
          <w:color w:val="2E74B5" w:themeColor="accent1" w:themeShade="BF"/>
        </w:rPr>
      </w:pPr>
      <w:r>
        <w:rPr>
          <w:i/>
          <w:color w:val="2E74B5" w:themeColor="accent1" w:themeShade="BF"/>
        </w:rPr>
        <w:t xml:space="preserve">Guiding Principle 1 – Promote the health, safety, and </w:t>
      </w:r>
      <w:r w:rsidR="000554AB">
        <w:rPr>
          <w:i/>
          <w:color w:val="2E74B5" w:themeColor="accent1" w:themeShade="BF"/>
        </w:rPr>
        <w:t>well being</w:t>
      </w:r>
      <w:r>
        <w:rPr>
          <w:i/>
          <w:color w:val="2E74B5" w:themeColor="accent1" w:themeShade="BF"/>
        </w:rPr>
        <w:t xml:space="preserve"> of Nevada’s communities</w:t>
      </w:r>
    </w:p>
    <w:p w:rsidR="003B0CF5" w:rsidRDefault="003B0CF5" w:rsidP="00B606F5">
      <w:pPr>
        <w:pStyle w:val="ListParagraph"/>
        <w:spacing w:after="0"/>
        <w:jc w:val="both"/>
        <w:rPr>
          <w:i/>
          <w:color w:val="2E74B5" w:themeColor="accent1" w:themeShade="BF"/>
        </w:rPr>
      </w:pPr>
    </w:p>
    <w:p w:rsidR="00B606F5" w:rsidRDefault="00B606F5" w:rsidP="00B606F5">
      <w:pPr>
        <w:pStyle w:val="ListParagraph"/>
        <w:spacing w:after="0"/>
        <w:jc w:val="both"/>
        <w:rPr>
          <w:i/>
          <w:color w:val="2E74B5" w:themeColor="accent1" w:themeShade="BF"/>
        </w:rPr>
      </w:pPr>
      <w:r>
        <w:rPr>
          <w:i/>
          <w:color w:val="2E74B5" w:themeColor="accent1" w:themeShade="BF"/>
        </w:rPr>
        <w:t xml:space="preserve">Guiding Principle </w:t>
      </w:r>
      <w:r w:rsidR="00AB307D">
        <w:rPr>
          <w:i/>
          <w:color w:val="2E74B5" w:themeColor="accent1" w:themeShade="BF"/>
        </w:rPr>
        <w:t>3</w:t>
      </w:r>
      <w:r>
        <w:rPr>
          <w:i/>
          <w:color w:val="2E74B5" w:themeColor="accent1" w:themeShade="BF"/>
        </w:rPr>
        <w:t xml:space="preserve"> </w:t>
      </w:r>
      <w:r w:rsidR="003B0CF5">
        <w:rPr>
          <w:i/>
          <w:color w:val="2E74B5" w:themeColor="accent1" w:themeShade="BF"/>
        </w:rPr>
        <w:t>–</w:t>
      </w:r>
      <w:r>
        <w:rPr>
          <w:i/>
          <w:color w:val="2E74B5" w:themeColor="accent1" w:themeShade="BF"/>
        </w:rPr>
        <w:t xml:space="preserve"> </w:t>
      </w:r>
      <w:r w:rsidR="003B0CF5">
        <w:rPr>
          <w:i/>
          <w:color w:val="2E74B5" w:themeColor="accent1" w:themeShade="BF"/>
        </w:rPr>
        <w:t>Ensure that youth are protected from the risks associated with marijuana, including preventing the diversion of marijuana to anyone under the age of 21</w:t>
      </w:r>
    </w:p>
    <w:p w:rsidR="00B606F5" w:rsidRDefault="00B606F5" w:rsidP="00B606F5">
      <w:pPr>
        <w:pStyle w:val="ListParagraph"/>
        <w:spacing w:after="0"/>
        <w:jc w:val="both"/>
        <w:rPr>
          <w:i/>
          <w:color w:val="2E74B5" w:themeColor="accent1" w:themeShade="BF"/>
        </w:rPr>
      </w:pPr>
    </w:p>
    <w:p w:rsidR="00E9081E" w:rsidRPr="00B606F5" w:rsidRDefault="00B606F5" w:rsidP="00B606F5">
      <w:pPr>
        <w:tabs>
          <w:tab w:val="left" w:pos="8613"/>
        </w:tabs>
        <w:spacing w:after="200" w:line="300" w:lineRule="exact"/>
        <w:ind w:left="720" w:right="693"/>
        <w:jc w:val="both"/>
        <w:rPr>
          <w:rFonts w:ascii="Calibri" w:hAnsi="Calibri"/>
          <w:i/>
          <w:color w:val="2E74B5" w:themeColor="accent1" w:themeShade="BF"/>
        </w:rPr>
      </w:pPr>
      <w:r>
        <w:rPr>
          <w:rFonts w:ascii="Calibri" w:hAnsi="Calibri"/>
          <w:i/>
          <w:color w:val="2E74B5" w:themeColor="accent1" w:themeShade="BF"/>
        </w:rPr>
        <w:t xml:space="preserve">Guiding Principle </w:t>
      </w:r>
      <w:r w:rsidR="003B0CF5">
        <w:rPr>
          <w:rFonts w:ascii="Calibri" w:hAnsi="Calibri"/>
          <w:i/>
          <w:color w:val="2E74B5" w:themeColor="accent1" w:themeShade="BF"/>
        </w:rPr>
        <w:t>6 – Establish regulations that are clear and practical, so that interactions between law enforcement (at the local, state and federal levels), consumers, and licensees are predictable and understandable</w:t>
      </w:r>
    </w:p>
    <w:p w:rsidR="00B606F5" w:rsidRDefault="00E9081E" w:rsidP="00E9081E">
      <w:pPr>
        <w:pStyle w:val="ListParagraph"/>
        <w:numPr>
          <w:ilvl w:val="0"/>
          <w:numId w:val="1"/>
        </w:numPr>
        <w:spacing w:after="0"/>
      </w:pPr>
      <w:r w:rsidRPr="003110FB">
        <w:t xml:space="preserve">What provision(s) of Question 2 does this recommendation apply to? </w:t>
      </w:r>
    </w:p>
    <w:p w:rsidR="00EC2D09" w:rsidRDefault="00EC2D09" w:rsidP="008C1FB6">
      <w:pPr>
        <w:spacing w:after="0"/>
        <w:ind w:left="720"/>
        <w:jc w:val="both"/>
        <w:rPr>
          <w:i/>
          <w:color w:val="0070C0"/>
          <w:shd w:val="clear" w:color="auto" w:fill="FFFFFF"/>
        </w:rPr>
      </w:pPr>
    </w:p>
    <w:p w:rsidR="00AB307D" w:rsidRPr="006D6816" w:rsidRDefault="002A7C88" w:rsidP="008C1FB6">
      <w:pPr>
        <w:spacing w:after="0"/>
        <w:ind w:left="720"/>
        <w:jc w:val="both"/>
        <w:rPr>
          <w:i/>
          <w:color w:val="0070C0"/>
          <w:shd w:val="clear" w:color="auto" w:fill="FFFFFF"/>
        </w:rPr>
      </w:pPr>
      <w:r w:rsidRPr="006D6816">
        <w:rPr>
          <w:i/>
          <w:color w:val="0070C0"/>
          <w:shd w:val="clear" w:color="auto" w:fill="FFFFFF"/>
        </w:rPr>
        <w:t xml:space="preserve">Sec. 2.    Preamble.   In the interest of the public health and public safety, and in order to better focus state and local law enforcement resources on crimes involving violence and personal property, the People of the State of Nevada find and declare that the use of marijuana should be legal for persons 21 years of age or older, and its cultivation and sale should be regulated similar to other legal businesses. </w:t>
      </w:r>
    </w:p>
    <w:p w:rsidR="002A7C88" w:rsidRPr="006D6816" w:rsidRDefault="002A7C88" w:rsidP="008C1FB6">
      <w:pPr>
        <w:spacing w:after="0"/>
        <w:ind w:left="720"/>
        <w:jc w:val="both"/>
        <w:rPr>
          <w:i/>
          <w:color w:val="0070C0"/>
          <w:shd w:val="clear" w:color="auto" w:fill="FFFFFF"/>
        </w:rPr>
      </w:pPr>
    </w:p>
    <w:p w:rsidR="002A7C88" w:rsidRPr="006D6816" w:rsidRDefault="002A7C88" w:rsidP="008C1FB6">
      <w:pPr>
        <w:shd w:val="clear" w:color="auto" w:fill="FFFFFF"/>
        <w:spacing w:after="0" w:line="240" w:lineRule="auto"/>
        <w:ind w:left="720"/>
        <w:jc w:val="both"/>
        <w:textAlignment w:val="baseline"/>
        <w:rPr>
          <w:rFonts w:eastAsia="Times New Roman" w:cs="Times New Roman"/>
          <w:i/>
          <w:color w:val="0070C0"/>
          <w:sz w:val="23"/>
          <w:szCs w:val="23"/>
        </w:rPr>
      </w:pPr>
      <w:r w:rsidRPr="006D6816">
        <w:rPr>
          <w:rFonts w:eastAsia="Times New Roman" w:cs="Times New Roman"/>
          <w:i/>
          <w:color w:val="0070C0"/>
          <w:sz w:val="23"/>
          <w:szCs w:val="23"/>
          <w:bdr w:val="none" w:sz="0" w:space="0" w:color="auto" w:frame="1"/>
        </w:rPr>
        <w:t>(d) Selling or giving marijuana to persons under 21 years of age shall remain illegal;</w:t>
      </w:r>
    </w:p>
    <w:p w:rsidR="002A7C88" w:rsidRPr="006D6816" w:rsidRDefault="002A7C88" w:rsidP="008C1FB6">
      <w:pPr>
        <w:shd w:val="clear" w:color="auto" w:fill="FFFFFF"/>
        <w:spacing w:after="0" w:line="240" w:lineRule="auto"/>
        <w:ind w:left="720"/>
        <w:jc w:val="both"/>
        <w:textAlignment w:val="baseline"/>
        <w:rPr>
          <w:rFonts w:eastAsia="Times New Roman" w:cs="Times New Roman"/>
          <w:i/>
          <w:color w:val="0070C0"/>
          <w:sz w:val="23"/>
          <w:szCs w:val="23"/>
        </w:rPr>
      </w:pPr>
      <w:r w:rsidRPr="006D6816">
        <w:rPr>
          <w:rFonts w:eastAsia="Times New Roman" w:cs="Times New Roman"/>
          <w:i/>
          <w:color w:val="0070C0"/>
          <w:sz w:val="23"/>
          <w:szCs w:val="23"/>
          <w:bdr w:val="none" w:sz="0" w:space="0" w:color="auto" w:frame="1"/>
        </w:rPr>
        <w:t>(e) Individuals will have to be 21 years of age or older to purchase marijuana;</w:t>
      </w:r>
    </w:p>
    <w:p w:rsidR="00AF130E" w:rsidRPr="003110FB" w:rsidRDefault="00AF130E" w:rsidP="00AF130E">
      <w:pPr>
        <w:spacing w:after="0"/>
      </w:pPr>
    </w:p>
    <w:p w:rsidR="007A4A8C" w:rsidRDefault="00E9081E" w:rsidP="00E9081E">
      <w:pPr>
        <w:pStyle w:val="ListParagraph"/>
        <w:numPr>
          <w:ilvl w:val="0"/>
          <w:numId w:val="1"/>
        </w:numPr>
        <w:spacing w:after="0"/>
      </w:pPr>
      <w:r w:rsidRPr="003110FB">
        <w:t>What issue(s) does the recommendation resolve?</w:t>
      </w:r>
    </w:p>
    <w:p w:rsidR="00B606F5" w:rsidRDefault="00B606F5" w:rsidP="00B606F5">
      <w:pPr>
        <w:spacing w:after="0"/>
      </w:pPr>
    </w:p>
    <w:p w:rsidR="001B0ADC" w:rsidRPr="006D6816" w:rsidRDefault="00B606F5" w:rsidP="00B606F5">
      <w:pPr>
        <w:spacing w:after="0"/>
        <w:ind w:left="720"/>
        <w:jc w:val="both"/>
        <w:rPr>
          <w:i/>
          <w:color w:val="0070C0"/>
        </w:rPr>
      </w:pPr>
      <w:r w:rsidRPr="006D6816">
        <w:rPr>
          <w:i/>
          <w:color w:val="0070C0"/>
        </w:rPr>
        <w:t xml:space="preserve">This recommendation </w:t>
      </w:r>
      <w:r w:rsidR="00BA3A45">
        <w:rPr>
          <w:i/>
          <w:color w:val="0070C0"/>
        </w:rPr>
        <w:t xml:space="preserve">established training requirements for the recreational marijuana industry and </w:t>
      </w:r>
      <w:r w:rsidRPr="006D6816">
        <w:rPr>
          <w:i/>
          <w:color w:val="0070C0"/>
        </w:rPr>
        <w:t xml:space="preserve">resolves </w:t>
      </w:r>
      <w:r w:rsidR="002A7C88" w:rsidRPr="006D6816">
        <w:rPr>
          <w:i/>
          <w:color w:val="0070C0"/>
        </w:rPr>
        <w:t>access to anyone under 21 years of age.</w:t>
      </w:r>
    </w:p>
    <w:p w:rsidR="001B0ADC" w:rsidRPr="003110FB" w:rsidRDefault="001B0ADC" w:rsidP="001B0ADC">
      <w:pPr>
        <w:spacing w:after="0"/>
      </w:pPr>
    </w:p>
    <w:p w:rsidR="00E9081E" w:rsidRDefault="001B0ADC" w:rsidP="00E9081E">
      <w:pPr>
        <w:pStyle w:val="ListParagraph"/>
        <w:numPr>
          <w:ilvl w:val="0"/>
          <w:numId w:val="1"/>
        </w:numPr>
        <w:spacing w:after="0"/>
      </w:pPr>
      <w:r w:rsidRPr="003110FB">
        <w:t>Was there dissent in the group regarding this recommendation?  If yes, please provide a summary of the dissenting opinion regarding the recommendation.</w:t>
      </w:r>
    </w:p>
    <w:p w:rsidR="00B606F5" w:rsidRDefault="00B606F5" w:rsidP="00B606F5">
      <w:pPr>
        <w:spacing w:after="0"/>
        <w:ind w:left="720"/>
      </w:pPr>
    </w:p>
    <w:p w:rsidR="008924A8" w:rsidRPr="006D6816" w:rsidRDefault="00B376D6" w:rsidP="00AF130E">
      <w:pPr>
        <w:pStyle w:val="ListParagraph"/>
        <w:spacing w:after="0"/>
        <w:rPr>
          <w:i/>
          <w:color w:val="0070C0"/>
        </w:rPr>
      </w:pPr>
      <w:r w:rsidRPr="006D6816">
        <w:rPr>
          <w:i/>
          <w:color w:val="0070C0"/>
        </w:rPr>
        <w:t>Not known.</w:t>
      </w:r>
    </w:p>
    <w:p w:rsidR="008924A8" w:rsidRPr="003110FB" w:rsidRDefault="008924A8" w:rsidP="00E9081E">
      <w:pPr>
        <w:spacing w:after="0"/>
      </w:pPr>
    </w:p>
    <w:p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rsidR="007C4334" w:rsidRDefault="007C4334" w:rsidP="007C4334">
      <w:pPr>
        <w:spacing w:after="0"/>
      </w:pPr>
    </w:p>
    <w:p w:rsidR="00E9081E" w:rsidRPr="006D6816" w:rsidRDefault="007C4334" w:rsidP="007C4334">
      <w:pPr>
        <w:spacing w:after="0"/>
        <w:ind w:left="720"/>
        <w:jc w:val="both"/>
        <w:rPr>
          <w:i/>
          <w:color w:val="0070C0"/>
        </w:rPr>
      </w:pPr>
      <w:r w:rsidRPr="006D6816">
        <w:rPr>
          <w:i/>
          <w:color w:val="0070C0"/>
        </w:rPr>
        <w:t xml:space="preserve">Regulations regarding </w:t>
      </w:r>
      <w:r w:rsidR="002A7C88" w:rsidRPr="006D6816">
        <w:rPr>
          <w:i/>
          <w:color w:val="0070C0"/>
        </w:rPr>
        <w:t xml:space="preserve">training and personnel </w:t>
      </w:r>
      <w:r w:rsidRPr="006D6816">
        <w:rPr>
          <w:i/>
          <w:color w:val="0070C0"/>
        </w:rPr>
        <w:t xml:space="preserve">will need to be modified to apply to the retail </w:t>
      </w:r>
      <w:r w:rsidR="002A7C88" w:rsidRPr="006D6816">
        <w:rPr>
          <w:i/>
          <w:color w:val="0070C0"/>
        </w:rPr>
        <w:t>establishments</w:t>
      </w:r>
      <w:r w:rsidRPr="006D6816">
        <w:rPr>
          <w:i/>
          <w:color w:val="0070C0"/>
        </w:rPr>
        <w:t>.</w:t>
      </w:r>
    </w:p>
    <w:p w:rsidR="00E9081E" w:rsidRPr="003110FB" w:rsidRDefault="00E9081E" w:rsidP="00E9081E">
      <w:pPr>
        <w:pStyle w:val="ListParagraph"/>
        <w:spacing w:after="0"/>
      </w:pPr>
    </w:p>
    <w:p w:rsidR="00DD1A10" w:rsidRDefault="00CC30A8" w:rsidP="007A4A8C">
      <w:pPr>
        <w:pStyle w:val="ListParagraph"/>
        <w:numPr>
          <w:ilvl w:val="0"/>
          <w:numId w:val="1"/>
        </w:numPr>
        <w:spacing w:after="0"/>
      </w:pPr>
      <w:r w:rsidRPr="003110FB">
        <w:t xml:space="preserve">Additional information (cost of implementation, priority according to the recommendations, </w:t>
      </w:r>
      <w:r w:rsidR="00F064FE" w:rsidRPr="003110FB">
        <w:t>etc.</w:t>
      </w:r>
      <w:r w:rsidRPr="003110FB">
        <w:t>)</w:t>
      </w:r>
      <w:r w:rsidR="00B70E4E" w:rsidRPr="003110FB">
        <w:t>.</w:t>
      </w:r>
    </w:p>
    <w:p w:rsidR="007C4334" w:rsidRPr="00F0763F" w:rsidRDefault="007C4334" w:rsidP="007C4334">
      <w:pPr>
        <w:spacing w:after="0"/>
        <w:rPr>
          <w:color w:val="0070C0"/>
        </w:rPr>
      </w:pPr>
    </w:p>
    <w:p w:rsidR="00470CBF" w:rsidRPr="00F0763F" w:rsidRDefault="00470CBF" w:rsidP="00470CBF">
      <w:pPr>
        <w:spacing w:after="0"/>
        <w:ind w:left="720"/>
        <w:jc w:val="both"/>
        <w:rPr>
          <w:i/>
          <w:color w:val="0070C0"/>
        </w:rPr>
      </w:pPr>
      <w:r w:rsidRPr="00F0763F">
        <w:rPr>
          <w:i/>
          <w:color w:val="0070C0"/>
        </w:rPr>
        <w:t>The D</w:t>
      </w:r>
      <w:r>
        <w:rPr>
          <w:i/>
          <w:color w:val="0070C0"/>
        </w:rPr>
        <w:t>epartment</w:t>
      </w:r>
      <w:r w:rsidRPr="00F0763F">
        <w:rPr>
          <w:i/>
          <w:color w:val="0070C0"/>
        </w:rPr>
        <w:t xml:space="preserve"> shall be tasked with maintaining a list of certified marijuana agent trainers. Companies wishing to train marijuana agents may submit an application including curriculum, instructor qualifications, background investigation on all instructors and an application fee. (Recommend $500 to align with Alcohol Awareness Certification. Fees collected will cover the Division’s expense of qualifying trainers and maintaining integrity of the programs.) </w:t>
      </w:r>
      <w:r>
        <w:rPr>
          <w:i/>
          <w:color w:val="0070C0"/>
        </w:rPr>
        <w:t>If this is too much of a burden on the Department of Taxation, this could be managed by Postsecondary Education, similar to the management of the alcohol beverage server training.</w:t>
      </w:r>
    </w:p>
    <w:p w:rsidR="00753FA6" w:rsidRPr="00753FA6" w:rsidRDefault="00753FA6" w:rsidP="009201F4">
      <w:pPr>
        <w:spacing w:after="0"/>
        <w:ind w:left="810" w:hanging="90"/>
        <w:rPr>
          <w:b/>
          <w:sz w:val="18"/>
          <w:szCs w:val="18"/>
        </w:rPr>
      </w:pPr>
    </w:p>
    <w:sectPr w:rsidR="00753FA6" w:rsidRPr="00753FA6" w:rsidSect="008862A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8DD" w:rsidRDefault="00C708DD" w:rsidP="00391997">
      <w:pPr>
        <w:spacing w:after="0" w:line="240" w:lineRule="auto"/>
      </w:pPr>
      <w:r>
        <w:separator/>
      </w:r>
    </w:p>
  </w:endnote>
  <w:endnote w:type="continuationSeparator" w:id="0">
    <w:p w:rsidR="00C708DD" w:rsidRDefault="00C708DD"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3E1" w:rsidRPr="00F43822" w:rsidRDefault="00C24CB9"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4294967294" distB="4294967294" distL="114300" distR="114300" simplePos="0" relativeHeight="251659264" behindDoc="0" locked="0" layoutInCell="0" allowOverlap="1">
              <wp:simplePos x="0" y="0"/>
              <wp:positionH relativeFrom="column">
                <wp:posOffset>0</wp:posOffset>
              </wp:positionH>
              <wp:positionV relativeFrom="paragraph">
                <wp:posOffset>-36831</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31032D97"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" o:allowincell="f" strokecolor="navy" strokeweight="1pt"/>
          </w:pict>
        </mc:Fallback>
      </mc:AlternateContent>
    </w:r>
    <w:r w:rsidR="00BC23E1">
      <w:rPr>
        <w:rFonts w:ascii="Calibri" w:eastAsia="Times New Roman" w:hAnsi="Calibri" w:cs="Times New Roman"/>
        <w:bCs/>
        <w:i/>
        <w:color w:val="3737A5"/>
        <w:sz w:val="16"/>
        <w:szCs w:val="16"/>
      </w:rPr>
      <w:t xml:space="preserve">Oversight and Responsible Agent </w:t>
    </w:r>
    <w:proofErr w:type="gramStart"/>
    <w:r w:rsidR="00BC23E1">
      <w:rPr>
        <w:rFonts w:ascii="Calibri" w:eastAsia="Times New Roman" w:hAnsi="Calibri" w:cs="Times New Roman"/>
        <w:bCs/>
        <w:i/>
        <w:color w:val="3737A5"/>
        <w:sz w:val="16"/>
        <w:szCs w:val="16"/>
      </w:rPr>
      <w:t>Training  v</w:t>
    </w:r>
    <w:proofErr w:type="gramEnd"/>
    <w:r w:rsidR="00BC23E1">
      <w:rPr>
        <w:rFonts w:ascii="Calibri" w:eastAsia="Times New Roman" w:hAnsi="Calibri" w:cs="Times New Roman"/>
        <w:bCs/>
        <w:i/>
        <w:color w:val="3737A5"/>
        <w:sz w:val="16"/>
        <w:szCs w:val="16"/>
      </w:rPr>
      <w:t>. 2- Recommendation</w:t>
    </w:r>
    <w:r w:rsidR="00BC23E1" w:rsidRPr="00F43822">
      <w:rPr>
        <w:rFonts w:ascii="Calibri" w:eastAsia="Times New Roman" w:hAnsi="Calibri" w:cs="Times New Roman"/>
        <w:bCs/>
        <w:i/>
        <w:color w:val="3737A5"/>
        <w:sz w:val="16"/>
        <w:szCs w:val="16"/>
      </w:rPr>
      <w:tab/>
    </w:r>
    <w:r w:rsidR="00BC23E1" w:rsidRPr="00F43822">
      <w:rPr>
        <w:rFonts w:ascii="Calibri" w:eastAsia="Times New Roman" w:hAnsi="Calibri" w:cs="Times New Roman"/>
        <w:bCs/>
        <w:i/>
        <w:color w:val="3737A5"/>
        <w:sz w:val="16"/>
        <w:szCs w:val="16"/>
      </w:rPr>
      <w:tab/>
    </w:r>
    <w:r w:rsidR="00BC23E1">
      <w:rPr>
        <w:rFonts w:ascii="Calibri" w:eastAsia="Times New Roman" w:hAnsi="Calibri" w:cs="Times New Roman"/>
        <w:bCs/>
        <w:i/>
        <w:color w:val="3737A5"/>
        <w:sz w:val="16"/>
        <w:szCs w:val="16"/>
      </w:rPr>
      <w:t>May 12, 2017</w:t>
    </w:r>
  </w:p>
  <w:p w:rsidR="00BC23E1" w:rsidRPr="00F43822" w:rsidRDefault="00BC23E1"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rsidR="00BC23E1" w:rsidRDefault="00BC2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8DD" w:rsidRDefault="00C708DD" w:rsidP="00391997">
      <w:pPr>
        <w:spacing w:after="0" w:line="240" w:lineRule="auto"/>
      </w:pPr>
      <w:r>
        <w:separator/>
      </w:r>
    </w:p>
  </w:footnote>
  <w:footnote w:type="continuationSeparator" w:id="0">
    <w:p w:rsidR="00C708DD" w:rsidRDefault="00C708DD"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3E1" w:rsidRPr="00F43822" w:rsidRDefault="00BC23E1" w:rsidP="008313F9">
    <w:pPr>
      <w:pStyle w:val="Heading2"/>
      <w:ind w:left="0"/>
      <w:jc w:val="center"/>
      <w:rPr>
        <w:sz w:val="22"/>
        <w:szCs w:val="22"/>
      </w:rPr>
    </w:pPr>
    <w:r>
      <w:rPr>
        <w:sz w:val="22"/>
        <w:szCs w:val="22"/>
      </w:rPr>
      <w:t>Oversight &amp; Responsible Agent Training - Recommendation</w:t>
    </w:r>
  </w:p>
  <w:p w:rsidR="00BC23E1" w:rsidRDefault="00BC23E1" w:rsidP="008313F9">
    <w:pPr>
      <w:pStyle w:val="Header"/>
      <w:jc w:val="center"/>
    </w:pPr>
    <w:r>
      <w:rPr>
        <w:noProof/>
      </w:rPr>
      <w:drawing>
        <wp:inline distT="0" distB="0" distL="0" distR="0">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474"/>
    <w:multiLevelType w:val="hybridMultilevel"/>
    <w:tmpl w:val="126AC6E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B3891"/>
    <w:multiLevelType w:val="hybridMultilevel"/>
    <w:tmpl w:val="806C2E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BCB0285"/>
    <w:multiLevelType w:val="hybridMultilevel"/>
    <w:tmpl w:val="7688A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17B77"/>
    <w:multiLevelType w:val="hybridMultilevel"/>
    <w:tmpl w:val="A79E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90BEF"/>
    <w:multiLevelType w:val="hybridMultilevel"/>
    <w:tmpl w:val="1F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D041F0"/>
    <w:multiLevelType w:val="hybridMultilevel"/>
    <w:tmpl w:val="CAC43E9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39A2B4D"/>
    <w:multiLevelType w:val="hybridMultilevel"/>
    <w:tmpl w:val="A5DECC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31423"/>
    <w:multiLevelType w:val="hybridMultilevel"/>
    <w:tmpl w:val="4E90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2"/>
  </w:num>
  <w:num w:numId="6">
    <w:abstractNumId w:val="4"/>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554AB"/>
    <w:rsid w:val="00060468"/>
    <w:rsid w:val="00090AAD"/>
    <w:rsid w:val="000A61D0"/>
    <w:rsid w:val="000B01A4"/>
    <w:rsid w:val="000C1A49"/>
    <w:rsid w:val="000C621F"/>
    <w:rsid w:val="000D1417"/>
    <w:rsid w:val="000E6FD0"/>
    <w:rsid w:val="00100A93"/>
    <w:rsid w:val="00114EF2"/>
    <w:rsid w:val="001363F7"/>
    <w:rsid w:val="001724CA"/>
    <w:rsid w:val="00172AD6"/>
    <w:rsid w:val="001866F9"/>
    <w:rsid w:val="001B0ADC"/>
    <w:rsid w:val="001B10FF"/>
    <w:rsid w:val="001B55D1"/>
    <w:rsid w:val="001B7E3A"/>
    <w:rsid w:val="00202E4C"/>
    <w:rsid w:val="0023729A"/>
    <w:rsid w:val="00243FE1"/>
    <w:rsid w:val="00261AA9"/>
    <w:rsid w:val="00266C27"/>
    <w:rsid w:val="00266F72"/>
    <w:rsid w:val="00280946"/>
    <w:rsid w:val="0028439B"/>
    <w:rsid w:val="002A7C88"/>
    <w:rsid w:val="002B085A"/>
    <w:rsid w:val="003110FB"/>
    <w:rsid w:val="00311F0E"/>
    <w:rsid w:val="00313CB7"/>
    <w:rsid w:val="00391997"/>
    <w:rsid w:val="003B0CF5"/>
    <w:rsid w:val="003D0C3C"/>
    <w:rsid w:val="003D4FE9"/>
    <w:rsid w:val="003F057A"/>
    <w:rsid w:val="003F6839"/>
    <w:rsid w:val="004039AB"/>
    <w:rsid w:val="00435662"/>
    <w:rsid w:val="00442A3F"/>
    <w:rsid w:val="00455CA6"/>
    <w:rsid w:val="00470CBF"/>
    <w:rsid w:val="00490743"/>
    <w:rsid w:val="004A1F2F"/>
    <w:rsid w:val="004D23E6"/>
    <w:rsid w:val="004D29C1"/>
    <w:rsid w:val="004E1544"/>
    <w:rsid w:val="005407DF"/>
    <w:rsid w:val="00565923"/>
    <w:rsid w:val="005726F9"/>
    <w:rsid w:val="0057648A"/>
    <w:rsid w:val="005C4213"/>
    <w:rsid w:val="005C5D7F"/>
    <w:rsid w:val="005E102D"/>
    <w:rsid w:val="005F5087"/>
    <w:rsid w:val="005F57F6"/>
    <w:rsid w:val="00623799"/>
    <w:rsid w:val="0062624C"/>
    <w:rsid w:val="0066215D"/>
    <w:rsid w:val="006B0A7E"/>
    <w:rsid w:val="006D4662"/>
    <w:rsid w:val="006D6816"/>
    <w:rsid w:val="00700DCA"/>
    <w:rsid w:val="00704A9D"/>
    <w:rsid w:val="00734CA0"/>
    <w:rsid w:val="00753FA6"/>
    <w:rsid w:val="0077108C"/>
    <w:rsid w:val="007746E2"/>
    <w:rsid w:val="00774894"/>
    <w:rsid w:val="007765FD"/>
    <w:rsid w:val="00783B58"/>
    <w:rsid w:val="007A22DD"/>
    <w:rsid w:val="007A4A8C"/>
    <w:rsid w:val="007C063A"/>
    <w:rsid w:val="007C4334"/>
    <w:rsid w:val="007D3377"/>
    <w:rsid w:val="007F58FD"/>
    <w:rsid w:val="008026DE"/>
    <w:rsid w:val="0082335C"/>
    <w:rsid w:val="008313F9"/>
    <w:rsid w:val="00835415"/>
    <w:rsid w:val="008641C6"/>
    <w:rsid w:val="00882EE9"/>
    <w:rsid w:val="008862AC"/>
    <w:rsid w:val="00891999"/>
    <w:rsid w:val="008924A8"/>
    <w:rsid w:val="008A3AC9"/>
    <w:rsid w:val="008B58EB"/>
    <w:rsid w:val="008C1FB6"/>
    <w:rsid w:val="008D5094"/>
    <w:rsid w:val="008E5F97"/>
    <w:rsid w:val="008F0634"/>
    <w:rsid w:val="008F3BCD"/>
    <w:rsid w:val="00901FB6"/>
    <w:rsid w:val="009201F4"/>
    <w:rsid w:val="009264B2"/>
    <w:rsid w:val="00951A21"/>
    <w:rsid w:val="00957E83"/>
    <w:rsid w:val="00961D8A"/>
    <w:rsid w:val="009805E6"/>
    <w:rsid w:val="009847C5"/>
    <w:rsid w:val="00996A51"/>
    <w:rsid w:val="009A3981"/>
    <w:rsid w:val="009D1938"/>
    <w:rsid w:val="009D45E3"/>
    <w:rsid w:val="009D71D4"/>
    <w:rsid w:val="009F3552"/>
    <w:rsid w:val="00A10FC9"/>
    <w:rsid w:val="00A312E6"/>
    <w:rsid w:val="00A65F54"/>
    <w:rsid w:val="00A8431A"/>
    <w:rsid w:val="00A9291E"/>
    <w:rsid w:val="00AB307D"/>
    <w:rsid w:val="00AB71F7"/>
    <w:rsid w:val="00AF130E"/>
    <w:rsid w:val="00B11C15"/>
    <w:rsid w:val="00B23C73"/>
    <w:rsid w:val="00B27F6B"/>
    <w:rsid w:val="00B376D6"/>
    <w:rsid w:val="00B52B12"/>
    <w:rsid w:val="00B54D7E"/>
    <w:rsid w:val="00B606F5"/>
    <w:rsid w:val="00B70E4E"/>
    <w:rsid w:val="00B830A1"/>
    <w:rsid w:val="00B918AD"/>
    <w:rsid w:val="00BA3A45"/>
    <w:rsid w:val="00BA5268"/>
    <w:rsid w:val="00BC0B03"/>
    <w:rsid w:val="00BC0F10"/>
    <w:rsid w:val="00BC23E1"/>
    <w:rsid w:val="00BF6BBC"/>
    <w:rsid w:val="00C24CB9"/>
    <w:rsid w:val="00C3511A"/>
    <w:rsid w:val="00C708DD"/>
    <w:rsid w:val="00C815BB"/>
    <w:rsid w:val="00C84E2C"/>
    <w:rsid w:val="00CC21E4"/>
    <w:rsid w:val="00CC30A8"/>
    <w:rsid w:val="00D06DEE"/>
    <w:rsid w:val="00D11D47"/>
    <w:rsid w:val="00D22E65"/>
    <w:rsid w:val="00D45C4B"/>
    <w:rsid w:val="00D55AB2"/>
    <w:rsid w:val="00D7066D"/>
    <w:rsid w:val="00D7363D"/>
    <w:rsid w:val="00D926ED"/>
    <w:rsid w:val="00D92BBB"/>
    <w:rsid w:val="00DA287B"/>
    <w:rsid w:val="00DB0510"/>
    <w:rsid w:val="00DB0A97"/>
    <w:rsid w:val="00DB6D9F"/>
    <w:rsid w:val="00DC4C91"/>
    <w:rsid w:val="00DD1A10"/>
    <w:rsid w:val="00DD6740"/>
    <w:rsid w:val="00DD6BA5"/>
    <w:rsid w:val="00DE0ABD"/>
    <w:rsid w:val="00E12499"/>
    <w:rsid w:val="00E818ED"/>
    <w:rsid w:val="00E84C44"/>
    <w:rsid w:val="00E874FB"/>
    <w:rsid w:val="00E9081E"/>
    <w:rsid w:val="00E96CEA"/>
    <w:rsid w:val="00EC03A5"/>
    <w:rsid w:val="00EC2D09"/>
    <w:rsid w:val="00EC7195"/>
    <w:rsid w:val="00EE0743"/>
    <w:rsid w:val="00EF5FDA"/>
    <w:rsid w:val="00F046BC"/>
    <w:rsid w:val="00F064FE"/>
    <w:rsid w:val="00F0763F"/>
    <w:rsid w:val="00F10249"/>
    <w:rsid w:val="00F27CF2"/>
    <w:rsid w:val="00F43822"/>
    <w:rsid w:val="00F53AC3"/>
    <w:rsid w:val="00F77759"/>
    <w:rsid w:val="00FB5787"/>
    <w:rsid w:val="00FB6B43"/>
    <w:rsid w:val="00FC1FA5"/>
    <w:rsid w:val="00FD57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9104C0-2F5E-4511-9A46-715D1CD6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2AC"/>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styleId="NormalWeb">
    <w:name w:val="Normal (Web)"/>
    <w:basedOn w:val="Normal"/>
    <w:uiPriority w:val="99"/>
    <w:semiHidden/>
    <w:unhideWhenUsed/>
    <w:rsid w:val="002A7C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7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92420">
      <w:bodyDiv w:val="1"/>
      <w:marLeft w:val="0"/>
      <w:marRight w:val="0"/>
      <w:marTop w:val="0"/>
      <w:marBottom w:val="0"/>
      <w:divBdr>
        <w:top w:val="none" w:sz="0" w:space="0" w:color="auto"/>
        <w:left w:val="none" w:sz="0" w:space="0" w:color="auto"/>
        <w:bottom w:val="none" w:sz="0" w:space="0" w:color="auto"/>
        <w:right w:val="none" w:sz="0" w:space="0" w:color="auto"/>
      </w:divBdr>
    </w:div>
    <w:div w:id="1672175586">
      <w:bodyDiv w:val="1"/>
      <w:marLeft w:val="0"/>
      <w:marRight w:val="0"/>
      <w:marTop w:val="0"/>
      <w:marBottom w:val="0"/>
      <w:divBdr>
        <w:top w:val="none" w:sz="0" w:space="0" w:color="auto"/>
        <w:left w:val="none" w:sz="0" w:space="0" w:color="auto"/>
        <w:bottom w:val="none" w:sz="0" w:space="0" w:color="auto"/>
        <w:right w:val="none" w:sz="0" w:space="0" w:color="auto"/>
      </w:divBdr>
    </w:div>
    <w:div w:id="21234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7EE0E-11F1-4AB4-B94D-16D6D9D9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11222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3</cp:revision>
  <cp:lastPrinted>2017-04-21T17:09:00Z</cp:lastPrinted>
  <dcterms:created xsi:type="dcterms:W3CDTF">2017-04-27T22:24:00Z</dcterms:created>
  <dcterms:modified xsi:type="dcterms:W3CDTF">2017-04-27T22:27:00Z</dcterms:modified>
</cp:coreProperties>
</file>